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89B39" w14:textId="77777777" w:rsidR="001B5EAD" w:rsidRDefault="001B5EAD">
      <w:pPr>
        <w:rPr>
          <w:b/>
          <w:bCs/>
          <w:color w:val="54595F"/>
          <w:sz w:val="20"/>
          <w:szCs w:val="20"/>
        </w:rPr>
      </w:pPr>
    </w:p>
    <w:p w14:paraId="2665853D" w14:textId="77777777" w:rsidR="00E44553" w:rsidRDefault="00A31853" w:rsidP="00E44553">
      <w:pPr>
        <w:pStyle w:val="Sous-titre"/>
      </w:pPr>
      <w:bookmarkStart w:id="0" w:name="_heading=h.x335lf9bftt2" w:colFirst="0" w:colLast="0"/>
      <w:bookmarkEnd w:id="0"/>
      <w:r>
        <w:t>Clarification</w:t>
      </w:r>
      <w:r w:rsidR="007579B8">
        <w:t xml:space="preserve"> </w:t>
      </w:r>
      <w:r>
        <w:t>des mots-clés – Annexe B</w:t>
      </w:r>
    </w:p>
    <w:p w14:paraId="051B38EC" w14:textId="77777777" w:rsidR="00E44553" w:rsidRDefault="00E44553" w:rsidP="00E44553">
      <w:pPr>
        <w:pStyle w:val="Sous-titre"/>
      </w:pPr>
    </w:p>
    <w:p w14:paraId="7CB7AAEA" w14:textId="1FB530BB" w:rsidR="00A31853" w:rsidRPr="00E44553" w:rsidRDefault="00A31853" w:rsidP="00E44553">
      <w:pPr>
        <w:pStyle w:val="Sous-titre"/>
      </w:pPr>
      <w:r w:rsidRPr="00A31853">
        <w:rPr>
          <w:rFonts w:ascii="Calibri" w:hAnsi="Calibri" w:cs="Calibri"/>
        </w:rPr>
        <w:t>Cette annexe peut être utilisée par la personne enseignante ou mise à la disposition des élèves afin de soutenir la compréhension des concepts mobilisés durant l’activité d’amorce de la phase de préparation.</w:t>
      </w:r>
    </w:p>
    <w:tbl>
      <w:tblPr>
        <w:tblStyle w:val="ae"/>
        <w:tblpPr w:leftFromText="141" w:rightFromText="141" w:vertAnchor="text" w:horzAnchor="margin" w:tblpY="12"/>
        <w:tblW w:w="95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
        <w:gridCol w:w="8535"/>
        <w:gridCol w:w="255"/>
      </w:tblGrid>
      <w:tr w:rsidR="00A31853" w:rsidRPr="00A31853" w14:paraId="77624E9B" w14:textId="77777777" w:rsidTr="00A31853">
        <w:tc>
          <w:tcPr>
            <w:tcW w:w="750" w:type="dxa"/>
            <w:tcBorders>
              <w:top w:val="single" w:sz="8" w:space="0" w:color="6BD3DE"/>
              <w:left w:val="single" w:sz="8" w:space="0" w:color="6BD3DE"/>
              <w:bottom w:val="single" w:sz="8" w:space="0" w:color="6BD3DE"/>
              <w:right w:val="single" w:sz="8" w:space="0" w:color="FFFFFF"/>
            </w:tcBorders>
            <w:tcMar>
              <w:top w:w="100" w:type="dxa"/>
              <w:left w:w="100" w:type="dxa"/>
              <w:bottom w:w="100" w:type="dxa"/>
              <w:right w:w="100" w:type="dxa"/>
            </w:tcMar>
          </w:tcPr>
          <w:p w14:paraId="0A1D54F9" w14:textId="77777777" w:rsidR="00A31853" w:rsidRPr="00A31853" w:rsidRDefault="00A31853" w:rsidP="00A31853">
            <w:pPr>
              <w:pStyle w:val="Titre4"/>
              <w:rPr>
                <w:sz w:val="20"/>
                <w:szCs w:val="20"/>
              </w:rPr>
            </w:pPr>
          </w:p>
        </w:tc>
        <w:tc>
          <w:tcPr>
            <w:tcW w:w="8535" w:type="dxa"/>
            <w:tcBorders>
              <w:top w:val="single" w:sz="8" w:space="0" w:color="6BD3DE"/>
              <w:left w:val="single" w:sz="8" w:space="0" w:color="FFFFFF"/>
              <w:bottom w:val="single" w:sz="8" w:space="0" w:color="6BD3DE"/>
              <w:right w:val="single" w:sz="8" w:space="0" w:color="FFFFFF"/>
            </w:tcBorders>
            <w:tcMar>
              <w:top w:w="100" w:type="dxa"/>
              <w:left w:w="100" w:type="dxa"/>
              <w:bottom w:w="100" w:type="dxa"/>
              <w:right w:w="100" w:type="dxa"/>
            </w:tcMar>
          </w:tcPr>
          <w:p w14:paraId="22519C51" w14:textId="77777777" w:rsidR="00A31853" w:rsidRPr="007579B8" w:rsidRDefault="00A31853" w:rsidP="00A31853">
            <w:pPr>
              <w:pStyle w:val="Titre4"/>
              <w:rPr>
                <w:sz w:val="22"/>
                <w:szCs w:val="22"/>
                <w:lang w:val="fr-CA"/>
              </w:rPr>
            </w:pPr>
            <w:bookmarkStart w:id="1" w:name="_heading=h.c8901v80z0pz" w:colFirst="0" w:colLast="0"/>
            <w:bookmarkEnd w:id="1"/>
          </w:p>
          <w:p w14:paraId="2FE68A52" w14:textId="5782DC2B" w:rsidR="00A31853" w:rsidRPr="00A31853" w:rsidRDefault="00A31853" w:rsidP="00A31853">
            <w:pPr>
              <w:pStyle w:val="Titre3"/>
              <w:ind w:left="0"/>
              <w:rPr>
                <w:rFonts w:asciiTheme="majorHAnsi" w:hAnsiTheme="majorHAnsi" w:cstheme="majorHAnsi"/>
                <w:i w:val="0"/>
                <w:iCs w:val="0"/>
                <w:sz w:val="22"/>
                <w:szCs w:val="22"/>
              </w:rPr>
            </w:pPr>
            <w:r w:rsidRPr="00A31853">
              <w:rPr>
                <w:rStyle w:val="lev"/>
                <w:rFonts w:asciiTheme="majorHAnsi" w:hAnsiTheme="majorHAnsi" w:cstheme="majorHAnsi"/>
                <w:b w:val="0"/>
                <w:bCs w:val="0"/>
                <w:i w:val="0"/>
                <w:iCs w:val="0"/>
                <w:sz w:val="22"/>
                <w:szCs w:val="22"/>
              </w:rPr>
              <w:t>Colonialisme</w:t>
            </w:r>
          </w:p>
          <w:p w14:paraId="3A553CCA" w14:textId="77777777" w:rsidR="00A31853" w:rsidRPr="00A31853" w:rsidRDefault="00A31853" w:rsidP="00A31853">
            <w:pPr>
              <w:pStyle w:val="NormalWeb"/>
              <w:rPr>
                <w:rFonts w:asciiTheme="majorHAnsi" w:hAnsiTheme="majorHAnsi" w:cstheme="majorHAnsi"/>
                <w:sz w:val="22"/>
                <w:szCs w:val="22"/>
              </w:rPr>
            </w:pPr>
            <w:r w:rsidRPr="00A31853">
              <w:rPr>
                <w:rFonts w:asciiTheme="majorHAnsi" w:hAnsiTheme="majorHAnsi" w:cstheme="majorHAnsi"/>
                <w:sz w:val="22"/>
                <w:szCs w:val="22"/>
              </w:rPr>
              <w:t>Processus de domination violente par lequel des groupes prennent le contrôle de territoires et de populations, imposent leur pouvoir, dépossèdent les populations colonisées et les placent dans des hiérarchies raciales, économiques et culturelles durables.</w:t>
            </w:r>
          </w:p>
          <w:p w14:paraId="7309D26B" w14:textId="77777777" w:rsidR="00A31853" w:rsidRPr="00A31853" w:rsidRDefault="00A31853" w:rsidP="00A31853">
            <w:pPr>
              <w:pStyle w:val="Titre3"/>
              <w:ind w:left="0"/>
              <w:rPr>
                <w:rFonts w:asciiTheme="majorHAnsi" w:hAnsiTheme="majorHAnsi" w:cstheme="majorHAnsi"/>
                <w:i w:val="0"/>
                <w:iCs w:val="0"/>
                <w:sz w:val="22"/>
                <w:szCs w:val="22"/>
              </w:rPr>
            </w:pPr>
            <w:r w:rsidRPr="00A31853">
              <w:rPr>
                <w:rStyle w:val="lev"/>
                <w:rFonts w:asciiTheme="majorHAnsi" w:hAnsiTheme="majorHAnsi" w:cstheme="majorHAnsi"/>
                <w:b w:val="0"/>
                <w:bCs w:val="0"/>
                <w:i w:val="0"/>
                <w:iCs w:val="0"/>
                <w:sz w:val="22"/>
                <w:szCs w:val="22"/>
              </w:rPr>
              <w:t>Capitalisme</w:t>
            </w:r>
          </w:p>
          <w:p w14:paraId="5ADA462F" w14:textId="77777777" w:rsidR="00A31853" w:rsidRPr="00A31853" w:rsidRDefault="00A31853" w:rsidP="00A31853">
            <w:pPr>
              <w:pStyle w:val="NormalWeb"/>
              <w:rPr>
                <w:rFonts w:asciiTheme="majorHAnsi" w:hAnsiTheme="majorHAnsi" w:cstheme="majorHAnsi"/>
                <w:sz w:val="22"/>
                <w:szCs w:val="22"/>
              </w:rPr>
            </w:pPr>
            <w:r w:rsidRPr="00A31853">
              <w:rPr>
                <w:rFonts w:asciiTheme="majorHAnsi" w:hAnsiTheme="majorHAnsi" w:cstheme="majorHAnsi"/>
                <w:sz w:val="22"/>
                <w:szCs w:val="22"/>
              </w:rPr>
              <w:t>Système économique fondé sur l’accumulation du profit, dans lequel le travail humain et les ressources sont utilisés pour enrichir certains groupes, produisant des inégalités structurelles.</w:t>
            </w:r>
          </w:p>
          <w:p w14:paraId="02C367E6" w14:textId="77777777" w:rsidR="00A31853" w:rsidRPr="00A31853" w:rsidRDefault="00A31853" w:rsidP="00A31853">
            <w:pPr>
              <w:pStyle w:val="Titre3"/>
              <w:ind w:left="0"/>
              <w:rPr>
                <w:rFonts w:asciiTheme="majorHAnsi" w:hAnsiTheme="majorHAnsi" w:cstheme="majorHAnsi"/>
                <w:i w:val="0"/>
                <w:iCs w:val="0"/>
                <w:sz w:val="22"/>
                <w:szCs w:val="22"/>
              </w:rPr>
            </w:pPr>
            <w:r w:rsidRPr="00A31853">
              <w:rPr>
                <w:rStyle w:val="lev"/>
                <w:rFonts w:asciiTheme="majorHAnsi" w:hAnsiTheme="majorHAnsi" w:cstheme="majorHAnsi"/>
                <w:b w:val="0"/>
                <w:bCs w:val="0"/>
                <w:i w:val="0"/>
                <w:iCs w:val="0"/>
                <w:sz w:val="22"/>
                <w:szCs w:val="22"/>
              </w:rPr>
              <w:t>Extraction de la force de travail</w:t>
            </w:r>
          </w:p>
          <w:p w14:paraId="1D758879" w14:textId="77777777" w:rsidR="00A31853" w:rsidRPr="00A31853" w:rsidRDefault="00A31853" w:rsidP="00A31853">
            <w:pPr>
              <w:pStyle w:val="NormalWeb"/>
              <w:rPr>
                <w:rFonts w:asciiTheme="majorHAnsi" w:hAnsiTheme="majorHAnsi" w:cstheme="majorHAnsi"/>
                <w:sz w:val="22"/>
                <w:szCs w:val="22"/>
              </w:rPr>
            </w:pPr>
            <w:r w:rsidRPr="00A31853">
              <w:rPr>
                <w:rFonts w:asciiTheme="majorHAnsi" w:hAnsiTheme="majorHAnsi" w:cstheme="majorHAnsi"/>
                <w:sz w:val="22"/>
                <w:szCs w:val="22"/>
              </w:rPr>
              <w:t xml:space="preserve">Mécanisme par lequel le travail des personnes est intensément exploité afin de produire de la richesse pour un groupe particulier, souvent sans protection, reconnaissance ou partage équitable des bénéfices </w:t>
            </w:r>
            <w:r w:rsidRPr="00A31853">
              <w:rPr>
                <w:rStyle w:val="lev"/>
                <w:rFonts w:asciiTheme="majorHAnsi" w:hAnsiTheme="majorHAnsi" w:cstheme="majorHAnsi"/>
                <w:b w:val="0"/>
                <w:bCs w:val="0"/>
                <w:sz w:val="22"/>
                <w:szCs w:val="22"/>
              </w:rPr>
              <w:t>pour celles et ceux qui travaillent</w:t>
            </w:r>
            <w:r w:rsidRPr="00A31853">
              <w:rPr>
                <w:rFonts w:asciiTheme="majorHAnsi" w:hAnsiTheme="majorHAnsi" w:cstheme="majorHAnsi"/>
                <w:sz w:val="22"/>
                <w:szCs w:val="22"/>
              </w:rPr>
              <w:t>.</w:t>
            </w:r>
          </w:p>
          <w:p w14:paraId="410139FD" w14:textId="77777777" w:rsidR="00A31853" w:rsidRPr="00A31853" w:rsidRDefault="00A31853" w:rsidP="00A31853">
            <w:pPr>
              <w:pStyle w:val="Titre3"/>
              <w:ind w:left="0"/>
              <w:rPr>
                <w:rFonts w:asciiTheme="majorHAnsi" w:hAnsiTheme="majorHAnsi" w:cstheme="majorHAnsi"/>
                <w:i w:val="0"/>
                <w:iCs w:val="0"/>
                <w:sz w:val="22"/>
                <w:szCs w:val="22"/>
              </w:rPr>
            </w:pPr>
            <w:r w:rsidRPr="00A31853">
              <w:rPr>
                <w:rStyle w:val="lev"/>
                <w:rFonts w:asciiTheme="majorHAnsi" w:hAnsiTheme="majorHAnsi" w:cstheme="majorHAnsi"/>
                <w:b w:val="0"/>
                <w:bCs w:val="0"/>
                <w:i w:val="0"/>
                <w:iCs w:val="0"/>
                <w:sz w:val="22"/>
                <w:szCs w:val="22"/>
              </w:rPr>
              <w:t>Accaparement des richesses</w:t>
            </w:r>
          </w:p>
          <w:p w14:paraId="671A79F2" w14:textId="77777777" w:rsidR="00A31853" w:rsidRPr="00A31853" w:rsidRDefault="00A31853" w:rsidP="00A31853">
            <w:pPr>
              <w:pStyle w:val="NormalWeb"/>
              <w:rPr>
                <w:rFonts w:asciiTheme="majorHAnsi" w:hAnsiTheme="majorHAnsi" w:cstheme="majorHAnsi"/>
                <w:b/>
                <w:bCs/>
                <w:sz w:val="22"/>
                <w:szCs w:val="22"/>
              </w:rPr>
            </w:pPr>
            <w:r w:rsidRPr="00A31853">
              <w:rPr>
                <w:rFonts w:asciiTheme="majorHAnsi" w:hAnsiTheme="majorHAnsi" w:cstheme="majorHAnsi"/>
                <w:sz w:val="22"/>
                <w:szCs w:val="22"/>
              </w:rPr>
              <w:t xml:space="preserve">Processus par lequel un groupe concentre </w:t>
            </w:r>
            <w:r w:rsidRPr="00A31853">
              <w:rPr>
                <w:rStyle w:val="lev"/>
                <w:rFonts w:asciiTheme="majorHAnsi" w:hAnsiTheme="majorHAnsi" w:cstheme="majorHAnsi"/>
                <w:b w:val="0"/>
                <w:bCs w:val="0"/>
                <w:sz w:val="22"/>
                <w:szCs w:val="22"/>
              </w:rPr>
              <w:t>l’argent, les ressources et les profits</w:t>
            </w:r>
            <w:r w:rsidRPr="00A31853">
              <w:rPr>
                <w:rFonts w:asciiTheme="majorHAnsi" w:hAnsiTheme="majorHAnsi" w:cstheme="majorHAnsi"/>
                <w:sz w:val="22"/>
                <w:szCs w:val="22"/>
              </w:rPr>
              <w:t xml:space="preserve">, souvent issus du travail collectif, et en limite l’accès aux autres, les rendant accessibles </w:t>
            </w:r>
            <w:r w:rsidRPr="00A31853">
              <w:rPr>
                <w:rStyle w:val="lev"/>
                <w:rFonts w:asciiTheme="majorHAnsi" w:hAnsiTheme="majorHAnsi" w:cstheme="majorHAnsi"/>
                <w:b w:val="0"/>
                <w:bCs w:val="0"/>
                <w:sz w:val="22"/>
                <w:szCs w:val="22"/>
              </w:rPr>
              <w:t>à une minorité seulement</w:t>
            </w:r>
            <w:r w:rsidRPr="00A31853">
              <w:rPr>
                <w:rFonts w:asciiTheme="majorHAnsi" w:hAnsiTheme="majorHAnsi" w:cstheme="majorHAnsi"/>
                <w:sz w:val="22"/>
                <w:szCs w:val="22"/>
              </w:rPr>
              <w:t>.</w:t>
            </w:r>
          </w:p>
          <w:p w14:paraId="7DC52D59" w14:textId="77777777" w:rsidR="00A31853" w:rsidRPr="00A31853" w:rsidRDefault="00A31853" w:rsidP="00A31853">
            <w:pPr>
              <w:pStyle w:val="Titre3"/>
              <w:ind w:left="0"/>
              <w:rPr>
                <w:rFonts w:asciiTheme="majorHAnsi" w:hAnsiTheme="majorHAnsi" w:cstheme="majorHAnsi"/>
                <w:i w:val="0"/>
                <w:iCs w:val="0"/>
                <w:sz w:val="22"/>
                <w:szCs w:val="22"/>
              </w:rPr>
            </w:pPr>
            <w:r w:rsidRPr="00A31853">
              <w:rPr>
                <w:rStyle w:val="lev"/>
                <w:rFonts w:asciiTheme="majorHAnsi" w:hAnsiTheme="majorHAnsi" w:cstheme="majorHAnsi"/>
                <w:b w:val="0"/>
                <w:bCs w:val="0"/>
                <w:i w:val="0"/>
                <w:iCs w:val="0"/>
                <w:sz w:val="22"/>
                <w:szCs w:val="22"/>
              </w:rPr>
              <w:t>Contrôle des populations</w:t>
            </w:r>
          </w:p>
          <w:p w14:paraId="1069B9E1" w14:textId="77777777" w:rsidR="00A31853" w:rsidRPr="00A31853" w:rsidRDefault="00A31853" w:rsidP="00A31853">
            <w:pPr>
              <w:pStyle w:val="NormalWeb"/>
              <w:rPr>
                <w:rFonts w:asciiTheme="majorHAnsi" w:hAnsiTheme="majorHAnsi" w:cstheme="majorHAnsi"/>
                <w:sz w:val="22"/>
                <w:szCs w:val="22"/>
              </w:rPr>
            </w:pPr>
            <w:r w:rsidRPr="00A31853">
              <w:rPr>
                <w:rFonts w:asciiTheme="majorHAnsi" w:hAnsiTheme="majorHAnsi" w:cstheme="majorHAnsi"/>
                <w:sz w:val="22"/>
                <w:szCs w:val="22"/>
              </w:rPr>
              <w:t>Ensemble de pratiques visant à surveiller, déplacer, discipliner ou restreindre certains groupes afin d’assurer la domination et la stabilité du système en place.</w:t>
            </w:r>
          </w:p>
          <w:p w14:paraId="430C9AAB" w14:textId="77777777" w:rsidR="00A31853" w:rsidRPr="00A31853" w:rsidRDefault="00A31853" w:rsidP="00A31853">
            <w:pPr>
              <w:pStyle w:val="Titre3"/>
              <w:ind w:left="0"/>
              <w:rPr>
                <w:rFonts w:asciiTheme="majorHAnsi" w:hAnsiTheme="majorHAnsi" w:cstheme="majorHAnsi"/>
                <w:i w:val="0"/>
                <w:iCs w:val="0"/>
                <w:sz w:val="22"/>
                <w:szCs w:val="22"/>
              </w:rPr>
            </w:pPr>
            <w:r w:rsidRPr="00A31853">
              <w:rPr>
                <w:rStyle w:val="lev"/>
                <w:rFonts w:asciiTheme="majorHAnsi" w:hAnsiTheme="majorHAnsi" w:cstheme="majorHAnsi"/>
                <w:b w:val="0"/>
                <w:bCs w:val="0"/>
                <w:i w:val="0"/>
                <w:iCs w:val="0"/>
                <w:sz w:val="22"/>
                <w:szCs w:val="22"/>
              </w:rPr>
              <w:t>Maintien des privilèges</w:t>
            </w:r>
          </w:p>
          <w:p w14:paraId="55967939" w14:textId="77777777" w:rsidR="00A31853" w:rsidRPr="00A31853" w:rsidRDefault="00A31853" w:rsidP="00A31853">
            <w:pPr>
              <w:pStyle w:val="NormalWeb"/>
              <w:rPr>
                <w:rFonts w:asciiTheme="majorHAnsi" w:hAnsiTheme="majorHAnsi" w:cstheme="majorHAnsi"/>
                <w:sz w:val="22"/>
                <w:szCs w:val="22"/>
              </w:rPr>
            </w:pPr>
            <w:r w:rsidRPr="00A31853">
              <w:rPr>
                <w:rFonts w:asciiTheme="majorHAnsi" w:hAnsiTheme="majorHAnsi" w:cstheme="majorHAnsi"/>
                <w:sz w:val="22"/>
                <w:szCs w:val="22"/>
              </w:rPr>
              <w:t xml:space="preserve">Mécanismes par lesquels des avantages sociaux, économiques ou symboliques sont protégés et transmis à certains groupes, souvent présentés comme normaux ou mérités. </w:t>
            </w:r>
            <w:r w:rsidRPr="00A31853">
              <w:rPr>
                <w:rStyle w:val="lev"/>
                <w:rFonts w:asciiTheme="majorHAnsi" w:hAnsiTheme="majorHAnsi" w:cstheme="majorHAnsi"/>
                <w:b w:val="0"/>
                <w:bCs w:val="0"/>
                <w:sz w:val="22"/>
                <w:szCs w:val="22"/>
              </w:rPr>
              <w:t>Le but est de conserver des positions de pouvoir et d’éviter que ces avantages soient remis en question.</w:t>
            </w:r>
          </w:p>
          <w:p w14:paraId="08B55727" w14:textId="77777777" w:rsidR="00A31853" w:rsidRPr="00A31853" w:rsidRDefault="00A31853" w:rsidP="00A31853">
            <w:pPr>
              <w:pStyle w:val="Titre3"/>
              <w:ind w:left="0"/>
              <w:rPr>
                <w:rFonts w:asciiTheme="majorHAnsi" w:hAnsiTheme="majorHAnsi" w:cstheme="majorHAnsi"/>
                <w:i w:val="0"/>
                <w:iCs w:val="0"/>
                <w:sz w:val="22"/>
                <w:szCs w:val="22"/>
              </w:rPr>
            </w:pPr>
            <w:r w:rsidRPr="00A31853">
              <w:rPr>
                <w:rStyle w:val="lev"/>
                <w:rFonts w:asciiTheme="majorHAnsi" w:hAnsiTheme="majorHAnsi" w:cstheme="majorHAnsi"/>
                <w:b w:val="0"/>
                <w:bCs w:val="0"/>
                <w:i w:val="0"/>
                <w:iCs w:val="0"/>
                <w:sz w:val="22"/>
                <w:szCs w:val="22"/>
              </w:rPr>
              <w:t>Justification des inégalités</w:t>
            </w:r>
          </w:p>
          <w:p w14:paraId="248754D9" w14:textId="5FFE1C92" w:rsidR="00A31853" w:rsidRPr="00A31853" w:rsidRDefault="00A31853" w:rsidP="00A31853">
            <w:pPr>
              <w:pStyle w:val="NormalWeb"/>
              <w:rPr>
                <w:sz w:val="20"/>
                <w:szCs w:val="20"/>
              </w:rPr>
            </w:pPr>
            <w:r w:rsidRPr="00A31853">
              <w:rPr>
                <w:rFonts w:asciiTheme="majorHAnsi" w:hAnsiTheme="majorHAnsi" w:cstheme="majorHAnsi"/>
                <w:sz w:val="22"/>
                <w:szCs w:val="22"/>
              </w:rPr>
              <w:t>Discours, idées ou récits qui servent à rendre acceptables les inégalités en les expliquant comme naturelles, nécessaires ou inévitables.</w:t>
            </w:r>
          </w:p>
        </w:tc>
        <w:tc>
          <w:tcPr>
            <w:tcW w:w="255" w:type="dxa"/>
            <w:tcBorders>
              <w:top w:val="single" w:sz="8" w:space="0" w:color="6BD3DE"/>
              <w:left w:val="single" w:sz="8" w:space="0" w:color="FFFFFF"/>
              <w:bottom w:val="single" w:sz="8" w:space="0" w:color="6BD3DE"/>
              <w:right w:val="single" w:sz="8" w:space="0" w:color="6BD3DE"/>
            </w:tcBorders>
            <w:tcMar>
              <w:top w:w="100" w:type="dxa"/>
              <w:left w:w="100" w:type="dxa"/>
              <w:bottom w:w="100" w:type="dxa"/>
              <w:right w:w="100" w:type="dxa"/>
            </w:tcMar>
          </w:tcPr>
          <w:p w14:paraId="76CED22F" w14:textId="77777777" w:rsidR="00A31853" w:rsidRPr="00A31853" w:rsidRDefault="00A31853" w:rsidP="00A31853">
            <w:pPr>
              <w:widowControl w:val="0"/>
              <w:pBdr>
                <w:top w:val="nil"/>
                <w:left w:val="nil"/>
                <w:bottom w:val="nil"/>
                <w:right w:val="nil"/>
                <w:between w:val="nil"/>
              </w:pBdr>
              <w:spacing w:line="240" w:lineRule="auto"/>
              <w:rPr>
                <w:lang w:val="fr-CA"/>
              </w:rPr>
            </w:pPr>
          </w:p>
        </w:tc>
      </w:tr>
    </w:tbl>
    <w:p w14:paraId="769C21EA" w14:textId="77777777" w:rsidR="001B5EAD" w:rsidRPr="00A31853" w:rsidRDefault="001B5EAD">
      <w:pPr>
        <w:rPr>
          <w:lang w:val="fr-CA"/>
        </w:rPr>
      </w:pPr>
    </w:p>
    <w:p w14:paraId="048EED35" w14:textId="77777777" w:rsidR="001B5EAD" w:rsidRDefault="001B5EAD" w:rsidP="00A31853">
      <w:pPr>
        <w:ind w:right="559"/>
        <w:rPr>
          <w:color w:val="41BF34"/>
        </w:rPr>
      </w:pPr>
      <w:bookmarkStart w:id="2" w:name="_heading=h.sv1okq2gf834" w:colFirst="0" w:colLast="0"/>
      <w:bookmarkEnd w:id="2"/>
    </w:p>
    <w:p w14:paraId="030134B0" w14:textId="77777777" w:rsidR="00E44553" w:rsidRDefault="00E44553">
      <w:pPr>
        <w:rPr>
          <w:rFonts w:ascii="Noto Sans Bamum SemiBold" w:eastAsia="Noto Sans Bamum SemiBold" w:hAnsi="Noto Sans Bamum SemiBold" w:cs="Noto Sans Bamum SemiBold"/>
          <w:color w:val="54595F"/>
          <w:sz w:val="18"/>
          <w:szCs w:val="18"/>
        </w:rPr>
      </w:pPr>
      <w:bookmarkStart w:id="3" w:name="_heading=h.agzy5rrtidij" w:colFirst="0" w:colLast="0"/>
      <w:bookmarkEnd w:id="3"/>
    </w:p>
    <w:p w14:paraId="4ED8902D" w14:textId="77777777" w:rsidR="00E44553" w:rsidRDefault="00E44553">
      <w:pPr>
        <w:rPr>
          <w:rFonts w:ascii="Noto Sans Bamum SemiBold" w:eastAsia="Noto Sans Bamum SemiBold" w:hAnsi="Noto Sans Bamum SemiBold" w:cs="Noto Sans Bamum SemiBold"/>
          <w:color w:val="54595F"/>
          <w:sz w:val="18"/>
          <w:szCs w:val="18"/>
        </w:rPr>
      </w:pPr>
    </w:p>
    <w:p w14:paraId="1606D4FF" w14:textId="77777777" w:rsidR="00E44553" w:rsidRDefault="00E44553">
      <w:pPr>
        <w:rPr>
          <w:rFonts w:ascii="Noto Sans Bamum SemiBold" w:eastAsia="Noto Sans Bamum SemiBold" w:hAnsi="Noto Sans Bamum SemiBold" w:cs="Noto Sans Bamum SemiBold"/>
          <w:color w:val="54595F"/>
          <w:sz w:val="18"/>
          <w:szCs w:val="18"/>
        </w:rPr>
      </w:pPr>
    </w:p>
    <w:p w14:paraId="10BBD737" w14:textId="77777777" w:rsidR="00E44553" w:rsidRDefault="00E44553">
      <w:pPr>
        <w:rPr>
          <w:rFonts w:ascii="Noto Sans Bamum SemiBold" w:eastAsia="Noto Sans Bamum SemiBold" w:hAnsi="Noto Sans Bamum SemiBold" w:cs="Noto Sans Bamum SemiBold"/>
          <w:color w:val="54595F"/>
          <w:sz w:val="18"/>
          <w:szCs w:val="18"/>
        </w:rPr>
      </w:pPr>
    </w:p>
    <w:p w14:paraId="1406A463" w14:textId="3B2CB262" w:rsidR="00E44553" w:rsidRPr="00D93634" w:rsidRDefault="00E44553">
      <w:pPr>
        <w:rPr>
          <w:rFonts w:asciiTheme="majorHAnsi" w:hAnsiTheme="majorHAnsi" w:cstheme="majorHAnsi"/>
          <w:b/>
          <w:bCs/>
          <w:sz w:val="22"/>
          <w:szCs w:val="22"/>
        </w:rPr>
      </w:pPr>
      <w:r w:rsidRPr="00D93634">
        <w:rPr>
          <w:rFonts w:asciiTheme="majorHAnsi" w:hAnsiTheme="majorHAnsi" w:cstheme="majorHAnsi"/>
          <w:b/>
          <w:bCs/>
          <w:sz w:val="22"/>
          <w:szCs w:val="22"/>
        </w:rPr>
        <w:t xml:space="preserve">Références utilisées pour l’élaboration des définitions : </w:t>
      </w:r>
    </w:p>
    <w:p w14:paraId="4ED0BDE5" w14:textId="77777777" w:rsidR="00E44553" w:rsidRPr="00D93634" w:rsidRDefault="00E44553">
      <w:pPr>
        <w:rPr>
          <w:rFonts w:asciiTheme="majorHAnsi" w:hAnsiTheme="majorHAnsi" w:cstheme="majorHAnsi"/>
          <w:sz w:val="22"/>
          <w:szCs w:val="22"/>
        </w:rPr>
      </w:pPr>
    </w:p>
    <w:p w14:paraId="711A74BF" w14:textId="77777777" w:rsidR="00D93634" w:rsidRPr="00D93634" w:rsidRDefault="00E44553">
      <w:pPr>
        <w:rPr>
          <w:rFonts w:asciiTheme="majorHAnsi" w:eastAsia="Noto Sans Bamum SemiBold" w:hAnsiTheme="majorHAnsi" w:cstheme="majorHAnsi"/>
          <w:color w:val="54595F"/>
          <w:sz w:val="22"/>
          <w:szCs w:val="22"/>
        </w:rPr>
      </w:pPr>
      <w:hyperlink r:id="rId8" w:history="1">
        <w:r w:rsidRPr="00D93634">
          <w:rPr>
            <w:rStyle w:val="Hyperlien"/>
            <w:rFonts w:asciiTheme="majorHAnsi" w:eastAsia="Noto Sans Bamum SemiBold" w:hAnsiTheme="majorHAnsi" w:cstheme="majorHAnsi"/>
            <w:sz w:val="22"/>
            <w:szCs w:val="22"/>
          </w:rPr>
          <w:t>https://www.rfi.fr/fr/emission/20181021-colonisation-est-une-domination-terres-peuples-cultures-corps</w:t>
        </w:r>
      </w:hyperlink>
      <w:r w:rsidRPr="00D93634">
        <w:rPr>
          <w:rFonts w:asciiTheme="majorHAnsi" w:eastAsia="Noto Sans Bamum SemiBold" w:hAnsiTheme="majorHAnsi" w:cstheme="majorHAnsi"/>
          <w:color w:val="54595F"/>
          <w:sz w:val="22"/>
          <w:szCs w:val="22"/>
        </w:rPr>
        <w:t xml:space="preserve"> </w:t>
      </w:r>
    </w:p>
    <w:p w14:paraId="094ADDEA" w14:textId="77777777" w:rsidR="00D93634" w:rsidRPr="00D93634" w:rsidRDefault="00D93634">
      <w:pPr>
        <w:rPr>
          <w:rFonts w:asciiTheme="majorHAnsi" w:eastAsia="Noto Sans Bamum SemiBold" w:hAnsiTheme="majorHAnsi" w:cstheme="majorHAnsi"/>
          <w:color w:val="54595F"/>
          <w:sz w:val="22"/>
          <w:szCs w:val="22"/>
        </w:rPr>
      </w:pPr>
    </w:p>
    <w:p w14:paraId="04125BC9" w14:textId="77777777" w:rsidR="00D93634" w:rsidRPr="00D93634" w:rsidRDefault="00E44553">
      <w:pPr>
        <w:rPr>
          <w:rFonts w:asciiTheme="majorHAnsi" w:eastAsia="Noto Sans Bamum SemiBold" w:hAnsiTheme="majorHAnsi" w:cstheme="majorHAnsi"/>
          <w:color w:val="54595F"/>
          <w:sz w:val="22"/>
          <w:szCs w:val="22"/>
        </w:rPr>
      </w:pPr>
      <w:hyperlink r:id="rId9" w:history="1">
        <w:r w:rsidRPr="00D93634">
          <w:rPr>
            <w:rStyle w:val="Hyperlien"/>
            <w:rFonts w:asciiTheme="majorHAnsi" w:eastAsia="Noto Sans Bamum SemiBold" w:hAnsiTheme="majorHAnsi" w:cstheme="majorHAnsi"/>
            <w:sz w:val="22"/>
            <w:szCs w:val="22"/>
          </w:rPr>
          <w:t>https://journals.openedition.org/traces/9428</w:t>
        </w:r>
      </w:hyperlink>
      <w:r w:rsidRPr="00D93634">
        <w:rPr>
          <w:rFonts w:asciiTheme="majorHAnsi" w:eastAsia="Noto Sans Bamum SemiBold" w:hAnsiTheme="majorHAnsi" w:cstheme="majorHAnsi"/>
          <w:color w:val="54595F"/>
          <w:sz w:val="22"/>
          <w:szCs w:val="22"/>
        </w:rPr>
        <w:t xml:space="preserve"> </w:t>
      </w:r>
      <w:hyperlink r:id="rId10" w:history="1">
        <w:r w:rsidRPr="00D93634">
          <w:rPr>
            <w:rStyle w:val="Hyperlien"/>
            <w:rFonts w:asciiTheme="majorHAnsi" w:eastAsia="Noto Sans Bamum SemiBold" w:hAnsiTheme="majorHAnsi" w:cstheme="majorHAnsi"/>
            <w:sz w:val="22"/>
            <w:szCs w:val="22"/>
          </w:rPr>
          <w:t>https://usito.usherbrooke.ca/d%C3%A9finitions/privil%C3%A8ge</w:t>
        </w:r>
      </w:hyperlink>
      <w:r w:rsidRPr="00D93634">
        <w:rPr>
          <w:rFonts w:asciiTheme="majorHAnsi" w:eastAsia="Noto Sans Bamum SemiBold" w:hAnsiTheme="majorHAnsi" w:cstheme="majorHAnsi"/>
          <w:color w:val="54595F"/>
          <w:sz w:val="22"/>
          <w:szCs w:val="22"/>
        </w:rPr>
        <w:t xml:space="preserve"> </w:t>
      </w:r>
    </w:p>
    <w:p w14:paraId="7B2A6305" w14:textId="77777777" w:rsidR="00D93634" w:rsidRPr="00D93634" w:rsidRDefault="00D93634">
      <w:pPr>
        <w:rPr>
          <w:rFonts w:asciiTheme="majorHAnsi" w:eastAsia="Noto Sans Bamum SemiBold" w:hAnsiTheme="majorHAnsi" w:cstheme="majorHAnsi"/>
          <w:color w:val="54595F"/>
          <w:sz w:val="22"/>
          <w:szCs w:val="22"/>
        </w:rPr>
      </w:pPr>
    </w:p>
    <w:p w14:paraId="2C2269CE" w14:textId="182FFD3A" w:rsidR="001B5EAD" w:rsidRPr="00D93634" w:rsidRDefault="00E44553">
      <w:pPr>
        <w:rPr>
          <w:rFonts w:asciiTheme="majorHAnsi" w:eastAsia="Noto Sans Bamum SemiBold" w:hAnsiTheme="majorHAnsi" w:cstheme="majorHAnsi"/>
          <w:color w:val="54595F"/>
          <w:sz w:val="22"/>
          <w:szCs w:val="22"/>
        </w:rPr>
      </w:pPr>
      <w:hyperlink r:id="rId11" w:history="1">
        <w:r w:rsidRPr="00D93634">
          <w:rPr>
            <w:rStyle w:val="Hyperlien"/>
            <w:rFonts w:asciiTheme="majorHAnsi" w:eastAsia="Noto Sans Bamum SemiBold" w:hAnsiTheme="majorHAnsi" w:cstheme="majorHAnsi"/>
            <w:sz w:val="22"/>
            <w:szCs w:val="22"/>
          </w:rPr>
          <w:t>https://shs.hal.science/halshs-00266214v1/document</w:t>
        </w:r>
      </w:hyperlink>
      <w:r w:rsidRPr="00D93634">
        <w:rPr>
          <w:rFonts w:asciiTheme="majorHAnsi" w:eastAsia="Noto Sans Bamum SemiBold" w:hAnsiTheme="majorHAnsi" w:cstheme="majorHAnsi"/>
          <w:color w:val="54595F"/>
          <w:sz w:val="22"/>
          <w:szCs w:val="22"/>
        </w:rPr>
        <w:t xml:space="preserve"> </w:t>
      </w:r>
      <w:hyperlink r:id="rId12" w:history="1">
        <w:r w:rsidRPr="00D93634">
          <w:rPr>
            <w:rStyle w:val="Hyperlien"/>
            <w:rFonts w:asciiTheme="majorHAnsi" w:eastAsia="Noto Sans Bamum SemiBold" w:hAnsiTheme="majorHAnsi" w:cstheme="majorHAnsi"/>
            <w:sz w:val="22"/>
            <w:szCs w:val="22"/>
          </w:rPr>
          <w:t>https://www.oxfamfrance.org/app/uploads/2025/01/Oxfam_rapport-Lart-de-prendre-sans-entreprendre_200125_compressed.pdf</w:t>
        </w:r>
      </w:hyperlink>
      <w:r w:rsidRPr="00D93634">
        <w:rPr>
          <w:rFonts w:asciiTheme="majorHAnsi" w:eastAsia="Noto Sans Bamum SemiBold" w:hAnsiTheme="majorHAnsi" w:cstheme="majorHAnsi"/>
          <w:color w:val="54595F"/>
          <w:sz w:val="22"/>
          <w:szCs w:val="22"/>
        </w:rPr>
        <w:t xml:space="preserve"> </w:t>
      </w:r>
    </w:p>
    <w:p w14:paraId="0EA3B992" w14:textId="77777777" w:rsidR="00E44553" w:rsidRDefault="00E44553">
      <w:pPr>
        <w:rPr>
          <w:rFonts w:ascii="Noto Sans Bamum SemiBold" w:eastAsia="Noto Sans Bamum SemiBold" w:hAnsi="Noto Sans Bamum SemiBold" w:cs="Noto Sans Bamum SemiBold"/>
          <w:color w:val="54595F"/>
          <w:sz w:val="20"/>
          <w:szCs w:val="20"/>
        </w:rPr>
      </w:pPr>
    </w:p>
    <w:sectPr w:rsidR="00E44553" w:rsidSect="002276C9">
      <w:headerReference w:type="default" r:id="rId13"/>
      <w:footerReference w:type="default" r:id="rId14"/>
      <w:headerReference w:type="first" r:id="rId15"/>
      <w:footerReference w:type="first" r:id="rId16"/>
      <w:pgSz w:w="11909" w:h="16834"/>
      <w:pgMar w:top="1440" w:right="1133" w:bottom="1440" w:left="1133" w:header="720" w:footer="720" w:gutter="0"/>
      <w:pgNumType w:start="1"/>
      <w:cols w:space="720"/>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0CD0D" w14:textId="77777777" w:rsidR="00490115" w:rsidRDefault="00490115">
      <w:pPr>
        <w:spacing w:line="240" w:lineRule="auto"/>
      </w:pPr>
      <w:r>
        <w:separator/>
      </w:r>
    </w:p>
  </w:endnote>
  <w:endnote w:type="continuationSeparator" w:id="0">
    <w:p w14:paraId="78E6899B" w14:textId="77777777" w:rsidR="00490115" w:rsidRDefault="004901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66611C0-18A7-B343-9DDF-E199FE0FACFC}"/>
    <w:embedBold r:id="rId2" w:fontKey="{D9A6FB53-D236-144D-8277-BAC47176D05B}"/>
  </w:font>
  <w:font w:name="Noto Sans Bamum">
    <w:altName w:val="Calibri"/>
    <w:charset w:val="00"/>
    <w:family w:val="auto"/>
    <w:pitch w:val="default"/>
    <w:embedRegular r:id="rId3" w:fontKey="{7C3D2683-C085-2C4D-B137-674D2883A0BA}"/>
    <w:embedBold r:id="rId4" w:fontKey="{0BD01457-85FD-6947-A885-3AD0F0C23FC8}"/>
    <w:embedItalic r:id="rId5" w:fontKey="{71FE9EF7-AB6D-C647-8066-86740BEF39D3}"/>
  </w:font>
  <w:font w:name="Noto Sans Bamum Medium">
    <w:altName w:val="Calibri"/>
    <w:panose1 w:val="020B0604020202020204"/>
    <w:charset w:val="00"/>
    <w:family w:val="swiss"/>
    <w:pitch w:val="variable"/>
    <w:sig w:usb0="00000003" w:usb1="02000000" w:usb2="00000000" w:usb3="00000000" w:csb0="00000001" w:csb1="00000000"/>
  </w:font>
  <w:font w:name="Noto Sans Bamum SemiBold">
    <w:altName w:val="Calibri"/>
    <w:panose1 w:val="020B0604020202020204"/>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8" w:fontKey="{D0878AFC-91B4-B34F-AA40-736CD172E94D}"/>
    <w:embedBold r:id="rId9" w:fontKey="{4CFE90E2-DD29-D342-9C21-E0064EF24F4F}"/>
  </w:font>
  <w:font w:name="Nunito Sans">
    <w:panose1 w:val="00000000000000000000"/>
    <w:charset w:val="00"/>
    <w:family w:val="auto"/>
    <w:pitch w:val="variable"/>
    <w:sig w:usb0="A00002FF" w:usb1="5000204B" w:usb2="00000000" w:usb3="00000000" w:csb0="00000197" w:csb1="00000000"/>
    <w:embedRegular r:id="rId10" w:fontKey="{B550E81B-4009-474A-92D4-5E5E7B7AF845}"/>
  </w:font>
  <w:font w:name="Nunito">
    <w:panose1 w:val="00000000000000000000"/>
    <w:charset w:val="00"/>
    <w:family w:val="auto"/>
    <w:pitch w:val="variable"/>
    <w:sig w:usb0="A00002FF" w:usb1="5000204B" w:usb2="00000000" w:usb3="00000000" w:csb0="00000197" w:csb1="00000000"/>
    <w:embedRegular r:id="rId11" w:fontKey="{96140E9A-545A-BC4F-984D-1788ADDF031E}"/>
  </w:font>
  <w:font w:name="Nunito Medium">
    <w:altName w:val="Calibri"/>
    <w:panose1 w:val="020B0604020202020204"/>
    <w:charset w:val="4D"/>
    <w:family w:val="auto"/>
    <w:pitch w:val="variable"/>
    <w:sig w:usb0="A00002FF" w:usb1="5000204B" w:usb2="00000000" w:usb3="00000000" w:csb0="00000197" w:csb1="00000000"/>
  </w:font>
  <w:font w:name="Nunito SemiBold">
    <w:panose1 w:val="00000000000000000000"/>
    <w:charset w:val="4D"/>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embedRegular r:id="rId13" w:fontKey="{50217ED5-B4B5-B247-9CE3-1A3B06BA93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D0B0" w14:textId="77777777" w:rsidR="001B5EAD" w:rsidRDefault="008D5946">
    <w:pPr>
      <w:spacing w:line="276" w:lineRule="auto"/>
      <w:rPr>
        <w:rFonts w:ascii="Noto Sans Bamum SemiBold" w:eastAsia="Noto Sans Bamum SemiBold" w:hAnsi="Noto Sans Bamum SemiBold" w:cs="Noto Sans Bamum SemiBold"/>
        <w:color w:val="6BD3DE"/>
        <w:sz w:val="20"/>
        <w:szCs w:val="20"/>
      </w:rPr>
    </w:pPr>
    <w:r>
      <w:rPr>
        <w:noProof/>
      </w:rPr>
      <mc:AlternateContent>
        <mc:Choice Requires="wps">
          <w:drawing>
            <wp:anchor distT="114300" distB="114300" distL="114300" distR="114300" simplePos="0" relativeHeight="251663360" behindDoc="0" locked="0" layoutInCell="1" hidden="0" allowOverlap="1" wp14:anchorId="41CD6663" wp14:editId="7FDDB58F">
              <wp:simplePos x="0" y="0"/>
              <wp:positionH relativeFrom="column">
                <wp:posOffset>-752473</wp:posOffset>
              </wp:positionH>
              <wp:positionV relativeFrom="paragraph">
                <wp:posOffset>247650</wp:posOffset>
              </wp:positionV>
              <wp:extent cx="6466613" cy="35169"/>
              <wp:effectExtent l="0" t="0" r="0" b="0"/>
              <wp:wrapSquare wrapText="bothSides" distT="114300" distB="114300" distL="114300" distR="114300"/>
              <wp:docPr id="14" name="Connecteur droit avec flèche 14"/>
              <wp:cNvGraphicFramePr/>
              <a:graphic xmlns:a="http://schemas.openxmlformats.org/drawingml/2006/main">
                <a:graphicData uri="http://schemas.microsoft.com/office/word/2010/wordprocessingShape">
                  <wps:wsp>
                    <wps:cNvCnPr/>
                    <wps:spPr>
                      <a:xfrm>
                        <a:off x="960750" y="3780000"/>
                        <a:ext cx="8770500" cy="0"/>
                      </a:xfrm>
                      <a:prstGeom prst="straightConnector1">
                        <a:avLst/>
                      </a:prstGeom>
                      <a:noFill/>
                      <a:ln w="19050" cap="flat" cmpd="sng">
                        <a:solidFill>
                          <a:srgbClr val="6FD3DD"/>
                        </a:solidFill>
                        <a:prstDash val="dot"/>
                        <a:round/>
                        <a:headEnd type="none" w="sm" len="sm"/>
                        <a:tailEnd type="none" w="sm" len="sm"/>
                      </a:ln>
                    </wps:spPr>
                    <wps:bodyPr/>
                  </wps:wsp>
                </a:graphicData>
              </a:graphic>
            </wp:anchor>
          </w:drawing>
        </mc:Choice>
        <mc:Fallback>
          <w:pict>
            <v:shapetype w14:anchorId="53D6976F" id="_x0000_t32" coordsize="21600,21600" o:spt="32" o:oned="t" path="m,l21600,21600e" filled="f">
              <v:path arrowok="t" fillok="f" o:connecttype="none"/>
              <o:lock v:ext="edit" shapetype="t"/>
            </v:shapetype>
            <v:shape id="Connecteur droit avec flèche 14" o:spid="_x0000_s1026" type="#_x0000_t32" style="position:absolute;margin-left:-59.25pt;margin-top:19.5pt;width:509.2pt;height:2.75pt;z-index:251663360;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" strokecolor="#6fd3dd" strokeweight="1.5pt">
              <v:stroke dashstyle="dot" startarrowwidth="narrow" startarrowlength="short" endarrowwidth="narrow" endarrowlength="short"/>
              <w10:wrap type="square"/>
            </v:shape>
          </w:pict>
        </mc:Fallback>
      </mc:AlternateContent>
    </w:r>
  </w:p>
  <w:p w14:paraId="14D7EA26" w14:textId="77777777" w:rsidR="001B5EAD" w:rsidRDefault="008D5946">
    <w:pPr>
      <w:jc w:val="right"/>
      <w:rPr>
        <w:rFonts w:ascii="Nunito Medium" w:eastAsia="Nunito Medium" w:hAnsi="Nunito Medium" w:cs="Nunito Medium"/>
      </w:rPr>
    </w:pPr>
    <w:r>
      <w:rPr>
        <w:rFonts w:ascii="Nunito Medium" w:eastAsia="Nunito Medium" w:hAnsi="Nunito Medium" w:cs="Nunito Medium"/>
      </w:rPr>
      <w:fldChar w:fldCharType="begin"/>
    </w:r>
    <w:r>
      <w:rPr>
        <w:rFonts w:ascii="Nunito Medium" w:eastAsia="Nunito Medium" w:hAnsi="Nunito Medium" w:cs="Nunito Medium"/>
      </w:rPr>
      <w:instrText>PAGE</w:instrText>
    </w:r>
    <w:r>
      <w:rPr>
        <w:rFonts w:ascii="Nunito Medium" w:eastAsia="Nunito Medium" w:hAnsi="Nunito Medium" w:cs="Nunito Medium"/>
      </w:rPr>
      <w:fldChar w:fldCharType="separate"/>
    </w:r>
    <w:r w:rsidR="00A31853">
      <w:rPr>
        <w:rFonts w:ascii="Nunito Medium" w:eastAsia="Nunito Medium" w:hAnsi="Nunito Medium" w:cs="Nunito Medium"/>
        <w:noProof/>
      </w:rPr>
      <w:t>2</w:t>
    </w:r>
    <w:r>
      <w:rPr>
        <w:rFonts w:ascii="Nunito Medium" w:eastAsia="Nunito Medium" w:hAnsi="Nunito Medium" w:cs="Nunito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A531" w14:textId="77777777" w:rsidR="001B5EAD" w:rsidRDefault="008D5946">
    <w:pPr>
      <w:jc w:val="right"/>
      <w:rPr>
        <w:rFonts w:ascii="Nunito SemiBold" w:eastAsia="Nunito SemiBold" w:hAnsi="Nunito SemiBold" w:cs="Nunito SemiBold"/>
        <w:color w:val="54595F"/>
        <w:sz w:val="24"/>
        <w:szCs w:val="24"/>
      </w:rPr>
    </w:pPr>
    <w:r>
      <w:rPr>
        <w:rFonts w:ascii="Nunito Medium" w:eastAsia="Nunito Medium" w:hAnsi="Nunito Medium" w:cs="Nunito Medium"/>
        <w:sz w:val="16"/>
        <w:szCs w:val="16"/>
      </w:rPr>
      <w:fldChar w:fldCharType="begin"/>
    </w:r>
    <w:r>
      <w:rPr>
        <w:rFonts w:ascii="Nunito Medium" w:eastAsia="Nunito Medium" w:hAnsi="Nunito Medium" w:cs="Nunito Medium"/>
        <w:sz w:val="16"/>
        <w:szCs w:val="16"/>
      </w:rPr>
      <w:instrText>PAGE</w:instrText>
    </w:r>
    <w:r>
      <w:rPr>
        <w:rFonts w:ascii="Nunito Medium" w:eastAsia="Nunito Medium" w:hAnsi="Nunito Medium" w:cs="Nunito Medium"/>
        <w:sz w:val="16"/>
        <w:szCs w:val="16"/>
      </w:rPr>
      <w:fldChar w:fldCharType="separate"/>
    </w:r>
    <w:r w:rsidR="00A31853">
      <w:rPr>
        <w:rFonts w:ascii="Nunito Medium" w:eastAsia="Nunito Medium" w:hAnsi="Nunito Medium" w:cs="Nunito Medium"/>
        <w:noProof/>
        <w:sz w:val="16"/>
        <w:szCs w:val="16"/>
      </w:rPr>
      <w:t>1</w:t>
    </w:r>
    <w:r>
      <w:rPr>
        <w:rFonts w:ascii="Nunito Medium" w:eastAsia="Nunito Medium" w:hAnsi="Nunito Medium" w:cs="Nunito Medium"/>
        <w:sz w:val="16"/>
        <w:szCs w:val="16"/>
      </w:rPr>
      <w:fldChar w:fldCharType="end"/>
    </w:r>
  </w:p>
  <w:p w14:paraId="6CA4F262" w14:textId="77777777" w:rsidR="001B5EAD" w:rsidRDefault="001B5EAD">
    <w:pPr>
      <w:jc w:val="right"/>
      <w:rPr>
        <w:rFonts w:ascii="Nunito SemiBold" w:eastAsia="Nunito SemiBold" w:hAnsi="Nunito SemiBold" w:cs="Nunito SemiBold"/>
        <w:color w:val="54595F"/>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AF34" w14:textId="77777777" w:rsidR="00490115" w:rsidRDefault="00490115">
      <w:pPr>
        <w:spacing w:line="240" w:lineRule="auto"/>
      </w:pPr>
      <w:r>
        <w:separator/>
      </w:r>
    </w:p>
  </w:footnote>
  <w:footnote w:type="continuationSeparator" w:id="0">
    <w:p w14:paraId="67ACE559" w14:textId="77777777" w:rsidR="00490115" w:rsidRDefault="004901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9D2A" w14:textId="7237087D" w:rsidR="001B5EAD" w:rsidRDefault="008D5946">
    <w:pPr>
      <w:spacing w:line="276" w:lineRule="auto"/>
      <w:rPr>
        <w:rFonts w:ascii="Nunito Sans" w:eastAsia="Nunito Sans" w:hAnsi="Nunito Sans" w:cs="Nunito Sans"/>
        <w:sz w:val="19"/>
        <w:szCs w:val="19"/>
      </w:rPr>
    </w:pPr>
    <w:r>
      <w:rPr>
        <w:rFonts w:ascii="Nunito Sans" w:eastAsia="Nunito Sans" w:hAnsi="Nunito Sans" w:cs="Nunito Sans"/>
        <w:sz w:val="14"/>
        <w:szCs w:val="14"/>
      </w:rPr>
      <w:t>Présenté</w:t>
    </w:r>
    <w:r w:rsidR="00D93634">
      <w:rPr>
        <w:rFonts w:ascii="Nunito Sans" w:eastAsia="Nunito Sans" w:hAnsi="Nunito Sans" w:cs="Nunito Sans"/>
        <w:sz w:val="14"/>
        <w:szCs w:val="14"/>
      </w:rPr>
      <w:t>e</w:t>
    </w:r>
    <w:r>
      <w:rPr>
        <w:rFonts w:ascii="Nunito Sans" w:eastAsia="Nunito Sans" w:hAnsi="Nunito Sans" w:cs="Nunito Sans"/>
        <w:sz w:val="14"/>
        <w:szCs w:val="14"/>
      </w:rPr>
      <w:t xml:space="preserve"> par le CEE</w:t>
    </w:r>
    <w:r>
      <w:rPr>
        <w:noProof/>
      </w:rPr>
      <w:drawing>
        <wp:anchor distT="114300" distB="114300" distL="114300" distR="114300" simplePos="0" relativeHeight="251678208" behindDoc="0" locked="0" layoutInCell="1" hidden="0" allowOverlap="1" wp14:anchorId="6B63F24E" wp14:editId="74537C1D">
          <wp:simplePos x="0" y="0"/>
          <wp:positionH relativeFrom="column">
            <wp:posOffset>5772150</wp:posOffset>
          </wp:positionH>
          <wp:positionV relativeFrom="paragraph">
            <wp:posOffset>-28573</wp:posOffset>
          </wp:positionV>
          <wp:extent cx="351125" cy="351125"/>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51125" cy="351125"/>
                  </a:xfrm>
                  <a:prstGeom prst="rect">
                    <a:avLst/>
                  </a:prstGeom>
                  <a:ln/>
                </pic:spPr>
              </pic:pic>
            </a:graphicData>
          </a:graphic>
        </wp:anchor>
      </w:drawing>
    </w:r>
  </w:p>
  <w:p w14:paraId="5C8F1080" w14:textId="36640A2D" w:rsidR="001B5EAD" w:rsidRDefault="002276C9">
    <w:pPr>
      <w:spacing w:line="276" w:lineRule="auto"/>
    </w:pPr>
    <w:r>
      <w:rPr>
        <w:rFonts w:ascii="Nunito" w:eastAsia="Nunito" w:hAnsi="Nunito" w:cs="Nunito"/>
        <w:color w:val="41BF34"/>
        <w:sz w:val="19"/>
        <w:szCs w:val="19"/>
      </w:rPr>
      <w:t>SAE L’ADN colonial du racisme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75C3" w14:textId="77777777" w:rsidR="001B5EAD" w:rsidRDefault="008D5946">
    <w:pPr>
      <w:spacing w:line="276" w:lineRule="auto"/>
      <w:rPr>
        <w:rFonts w:ascii="Nunito Sans" w:eastAsia="Nunito Sans" w:hAnsi="Nunito Sans" w:cs="Nunito Sans"/>
        <w:sz w:val="19"/>
        <w:szCs w:val="19"/>
      </w:rPr>
    </w:pPr>
    <w:r>
      <w:rPr>
        <w:rFonts w:ascii="Nunito Sans" w:eastAsia="Nunito Sans" w:hAnsi="Nunito Sans" w:cs="Nunito Sans"/>
        <w:sz w:val="14"/>
        <w:szCs w:val="14"/>
      </w:rPr>
      <w:t>Présenté par le CEE</w:t>
    </w:r>
    <w:r>
      <w:rPr>
        <w:noProof/>
      </w:rPr>
      <mc:AlternateContent>
        <mc:Choice Requires="wps">
          <w:drawing>
            <wp:anchor distT="0" distB="0" distL="0" distR="0" simplePos="0" relativeHeight="251659264" behindDoc="1" locked="0" layoutInCell="1" hidden="0" allowOverlap="1" wp14:anchorId="778B27BB" wp14:editId="308029A5">
              <wp:simplePos x="0" y="0"/>
              <wp:positionH relativeFrom="column">
                <wp:posOffset>-347660</wp:posOffset>
              </wp:positionH>
              <wp:positionV relativeFrom="paragraph">
                <wp:posOffset>-200023</wp:posOffset>
              </wp:positionV>
              <wp:extent cx="6829425" cy="10148888"/>
              <wp:effectExtent l="0" t="0" r="0" b="0"/>
              <wp:wrapNone/>
              <wp:docPr id="13" name="Rectangle 13"/>
              <wp:cNvGraphicFramePr/>
              <a:graphic xmlns:a="http://schemas.openxmlformats.org/drawingml/2006/main">
                <a:graphicData uri="http://schemas.microsoft.com/office/word/2010/wordprocessingShape">
                  <wps:wsp>
                    <wps:cNvSpPr/>
                    <wps:spPr>
                      <a:xfrm>
                        <a:off x="3574650" y="1414800"/>
                        <a:ext cx="3542700" cy="4730400"/>
                      </a:xfrm>
                      <a:prstGeom prst="rect">
                        <a:avLst/>
                      </a:prstGeom>
                      <a:solidFill>
                        <a:srgbClr val="EFEFEF"/>
                      </a:solidFill>
                      <a:ln>
                        <a:noFill/>
                      </a:ln>
                    </wps:spPr>
                    <wps:txbx>
                      <w:txbxContent>
                        <w:p w14:paraId="39133646" w14:textId="77777777" w:rsidR="001B5EAD" w:rsidRDefault="001B5EAD">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778B27BB" id="Rectangle 13" o:spid="_x0000_s1026" style="position:absolute;margin-left:-27.35pt;margin-top:-15.75pt;width:537.75pt;height:799.1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" fillcolor="#efefef" stroked="f">
              <v:textbox inset="2.53958mm,2.53958mm,2.53958mm,2.53958mm">
                <w:txbxContent>
                  <w:p w14:paraId="39133646" w14:textId="77777777" w:rsidR="001B5EAD" w:rsidRDefault="001B5EAD">
                    <w:pPr>
                      <w:spacing w:line="240" w:lineRule="auto"/>
                      <w:jc w:val="center"/>
                      <w:textDirection w:val="btLr"/>
                    </w:pPr>
                  </w:p>
                </w:txbxContent>
              </v:textbox>
            </v:rect>
          </w:pict>
        </mc:Fallback>
      </mc:AlternateContent>
    </w:r>
    <w:r>
      <w:rPr>
        <w:noProof/>
      </w:rPr>
      <mc:AlternateContent>
        <mc:Choice Requires="wps">
          <w:drawing>
            <wp:anchor distT="0" distB="0" distL="0" distR="0" simplePos="0" relativeHeight="251660288" behindDoc="1" locked="0" layoutInCell="1" hidden="0" allowOverlap="1" wp14:anchorId="3FCA6A65" wp14:editId="53607B28">
              <wp:simplePos x="0" y="0"/>
              <wp:positionH relativeFrom="column">
                <wp:posOffset>-347660</wp:posOffset>
              </wp:positionH>
              <wp:positionV relativeFrom="paragraph">
                <wp:posOffset>-195259</wp:posOffset>
              </wp:positionV>
              <wp:extent cx="6829425" cy="10148888"/>
              <wp:effectExtent l="0" t="0" r="0" b="0"/>
              <wp:wrapNone/>
              <wp:docPr id="12" name="Rectangle 12"/>
              <wp:cNvGraphicFramePr/>
              <a:graphic xmlns:a="http://schemas.openxmlformats.org/drawingml/2006/main">
                <a:graphicData uri="http://schemas.microsoft.com/office/word/2010/wordprocessingShape">
                  <wps:wsp>
                    <wps:cNvSpPr/>
                    <wps:spPr>
                      <a:xfrm>
                        <a:off x="3574650" y="1414800"/>
                        <a:ext cx="3542700" cy="4730400"/>
                      </a:xfrm>
                      <a:prstGeom prst="rect">
                        <a:avLst/>
                      </a:prstGeom>
                      <a:solidFill>
                        <a:srgbClr val="EFEFEF"/>
                      </a:solidFill>
                      <a:ln>
                        <a:noFill/>
                      </a:ln>
                    </wps:spPr>
                    <wps:txbx>
                      <w:txbxContent>
                        <w:p w14:paraId="2EB1F4CE" w14:textId="77777777" w:rsidR="001B5EAD" w:rsidRDefault="001B5EAD">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3FCA6A65" id="Rectangle 12" o:spid="_x0000_s1027" style="position:absolute;margin-left:-27.35pt;margin-top:-15.35pt;width:537.75pt;height:799.1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" fillcolor="#efefef" stroked="f">
              <v:textbox inset="2.53958mm,2.53958mm,2.53958mm,2.53958mm">
                <w:txbxContent>
                  <w:p w14:paraId="2EB1F4CE" w14:textId="77777777" w:rsidR="001B5EAD" w:rsidRDefault="001B5EAD">
                    <w:pPr>
                      <w:spacing w:line="240" w:lineRule="auto"/>
                      <w:jc w:val="center"/>
                      <w:textDirection w:val="btLr"/>
                    </w:pPr>
                  </w:p>
                </w:txbxContent>
              </v:textbox>
            </v:rect>
          </w:pict>
        </mc:Fallback>
      </mc:AlternateContent>
    </w:r>
    <w:r>
      <w:rPr>
        <w:noProof/>
      </w:rPr>
      <w:drawing>
        <wp:anchor distT="114300" distB="114300" distL="114300" distR="114300" simplePos="0" relativeHeight="251661312" behindDoc="0" locked="0" layoutInCell="1" hidden="0" allowOverlap="1" wp14:anchorId="37619EE6" wp14:editId="3719B093">
          <wp:simplePos x="0" y="0"/>
          <wp:positionH relativeFrom="column">
            <wp:posOffset>5772150</wp:posOffset>
          </wp:positionH>
          <wp:positionV relativeFrom="paragraph">
            <wp:posOffset>2</wp:posOffset>
          </wp:positionV>
          <wp:extent cx="351125" cy="351125"/>
          <wp:effectExtent l="0" t="0" r="0" b="0"/>
          <wp:wrapNone/>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51125" cy="35112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14:anchorId="6F97DB21" wp14:editId="2FBE7820">
          <wp:simplePos x="0" y="0"/>
          <wp:positionH relativeFrom="column">
            <wp:posOffset>5772150</wp:posOffset>
          </wp:positionH>
          <wp:positionV relativeFrom="paragraph">
            <wp:posOffset>-9523</wp:posOffset>
          </wp:positionV>
          <wp:extent cx="351125" cy="351125"/>
          <wp:effectExtent l="0" t="0" r="0" b="0"/>
          <wp:wrapNone/>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51125" cy="351125"/>
                  </a:xfrm>
                  <a:prstGeom prst="rect">
                    <a:avLst/>
                  </a:prstGeom>
                  <a:ln/>
                </pic:spPr>
              </pic:pic>
            </a:graphicData>
          </a:graphic>
        </wp:anchor>
      </w:drawing>
    </w:r>
  </w:p>
  <w:p w14:paraId="761A65F8" w14:textId="19F68471" w:rsidR="001B5EAD" w:rsidRDefault="008D5946">
    <w:pPr>
      <w:spacing w:line="276" w:lineRule="auto"/>
    </w:pPr>
    <w:r>
      <w:rPr>
        <w:rFonts w:ascii="Nunito" w:eastAsia="Nunito" w:hAnsi="Nunito" w:cs="Nunito"/>
        <w:color w:val="41BF34"/>
        <w:sz w:val="19"/>
        <w:szCs w:val="19"/>
      </w:rPr>
      <w:t>SAE Racisme et colonialisme, 5</w:t>
    </w:r>
    <w:r w:rsidRPr="008D5946">
      <w:rPr>
        <w:rFonts w:ascii="Nunito" w:eastAsia="Nunito" w:hAnsi="Nunito" w:cs="Nunito"/>
        <w:color w:val="41BF34"/>
        <w:sz w:val="19"/>
        <w:szCs w:val="19"/>
        <w:vertAlign w:val="superscript"/>
      </w:rPr>
      <w:t>e</w:t>
    </w:r>
    <w:r>
      <w:rPr>
        <w:rFonts w:ascii="Nunito" w:eastAsia="Nunito" w:hAnsi="Nunito" w:cs="Nunito"/>
        <w:color w:val="41BF34"/>
        <w:sz w:val="19"/>
        <w:szCs w:val="19"/>
      </w:rPr>
      <w:t xml:space="preserve"> secondaire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3031C"/>
    <w:multiLevelType w:val="multilevel"/>
    <w:tmpl w:val="D744C340"/>
    <w:lvl w:ilvl="0">
      <w:start w:val="1"/>
      <w:numFmt w:val="bullet"/>
      <w:lvlText w:val="●"/>
      <w:lvlJc w:val="left"/>
      <w:pPr>
        <w:ind w:left="720" w:hanging="360"/>
      </w:pPr>
      <w:rPr>
        <w:color w:val="41BF3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2711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EAD"/>
    <w:rsid w:val="001B5EAD"/>
    <w:rsid w:val="002276C9"/>
    <w:rsid w:val="002D77E0"/>
    <w:rsid w:val="00307D4E"/>
    <w:rsid w:val="003C39AD"/>
    <w:rsid w:val="00490115"/>
    <w:rsid w:val="005A77F3"/>
    <w:rsid w:val="007579B8"/>
    <w:rsid w:val="008B0691"/>
    <w:rsid w:val="008D5946"/>
    <w:rsid w:val="00A046BB"/>
    <w:rsid w:val="00A31853"/>
    <w:rsid w:val="00BD3E0A"/>
    <w:rsid w:val="00D93634"/>
    <w:rsid w:val="00DC181C"/>
    <w:rsid w:val="00E44553"/>
    <w:rsid w:val="00F026D3"/>
    <w:rsid w:val="00FE6B3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289E8"/>
  <w15:docId w15:val="{806F13E3-59E6-E94D-8717-078EA49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Bamum" w:eastAsia="Noto Sans Bamum" w:hAnsi="Noto Sans Bamum" w:cs="Noto Sans Bamum"/>
        <w:sz w:val="17"/>
        <w:szCs w:val="17"/>
        <w:lang w:val="fr" w:eastAsia="fr-CA" w:bidi="ar-SA"/>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outlineLvl w:val="0"/>
    </w:pPr>
    <w:rPr>
      <w:rFonts w:ascii="Noto Sans Bamum Medium" w:eastAsia="Noto Sans Bamum Medium" w:hAnsi="Noto Sans Bamum Medium" w:cs="Noto Sans Bamum Medium"/>
      <w:color w:val="54595F"/>
      <w:sz w:val="24"/>
      <w:szCs w:val="24"/>
    </w:rPr>
  </w:style>
  <w:style w:type="paragraph" w:styleId="Titre2">
    <w:name w:val="heading 2"/>
    <w:basedOn w:val="Normal"/>
    <w:next w:val="Normal"/>
    <w:uiPriority w:val="9"/>
    <w:unhideWhenUsed/>
    <w:qFormat/>
    <w:pPr>
      <w:keepNext/>
      <w:keepLines/>
      <w:spacing w:line="276" w:lineRule="auto"/>
      <w:outlineLvl w:val="1"/>
    </w:pPr>
    <w:rPr>
      <w:rFonts w:ascii="Noto Sans Bamum SemiBold" w:eastAsia="Noto Sans Bamum SemiBold" w:hAnsi="Noto Sans Bamum SemiBold" w:cs="Noto Sans Bamum SemiBold"/>
      <w:sz w:val="20"/>
      <w:szCs w:val="20"/>
    </w:rPr>
  </w:style>
  <w:style w:type="paragraph" w:styleId="Titre3">
    <w:name w:val="heading 3"/>
    <w:basedOn w:val="Normal"/>
    <w:next w:val="Normal"/>
    <w:uiPriority w:val="9"/>
    <w:unhideWhenUsed/>
    <w:qFormat/>
    <w:pPr>
      <w:keepNext/>
      <w:keepLines/>
      <w:ind w:left="566" w:right="559"/>
      <w:outlineLvl w:val="2"/>
    </w:pPr>
    <w:rPr>
      <w:i/>
      <w:iCs/>
      <w:color w:val="41BF34"/>
    </w:rPr>
  </w:style>
  <w:style w:type="paragraph" w:styleId="Titre4">
    <w:name w:val="heading 4"/>
    <w:basedOn w:val="Normal"/>
    <w:next w:val="Normal"/>
    <w:uiPriority w:val="9"/>
    <w:unhideWhenUsed/>
    <w:qFormat/>
    <w:pPr>
      <w:keepNext/>
      <w:keepLines/>
      <w:spacing w:line="276" w:lineRule="auto"/>
      <w:outlineLvl w:val="3"/>
    </w:pPr>
    <w:rPr>
      <w:rFonts w:ascii="Noto Sans Bamum SemiBold" w:eastAsia="Noto Sans Bamum SemiBold" w:hAnsi="Noto Sans Bamum SemiBold" w:cs="Noto Sans Bamum SemiBold"/>
      <w:color w:val="6BD3DE"/>
    </w:rPr>
  </w:style>
  <w:style w:type="paragraph" w:styleId="Titre5">
    <w:name w:val="heading 5"/>
    <w:basedOn w:val="Normal"/>
    <w:next w:val="Normal"/>
    <w:uiPriority w:val="9"/>
    <w:unhideWhenUsed/>
    <w:qFormat/>
    <w:pPr>
      <w:keepNext/>
      <w:keepLines/>
      <w:spacing w:before="240" w:after="80"/>
      <w:outlineLvl w:val="4"/>
    </w:pPr>
    <w:rPr>
      <w:color w:val="666666"/>
      <w:sz w:val="22"/>
      <w:szCs w:val="22"/>
    </w:rPr>
  </w:style>
  <w:style w:type="paragraph" w:styleId="Titre6">
    <w:name w:val="heading 6"/>
    <w:basedOn w:val="Normal"/>
    <w:next w:val="Normal"/>
    <w:uiPriority w:val="9"/>
    <w:unhideWhenUsed/>
    <w:qFormat/>
    <w:pPr>
      <w:keepNext/>
      <w:keepLines/>
      <w:spacing w:line="276" w:lineRule="auto"/>
      <w:outlineLvl w:val="5"/>
    </w:pPr>
    <w:rPr>
      <w:rFonts w:ascii="Noto Sans Bamum SemiBold" w:eastAsia="Noto Sans Bamum SemiBold" w:hAnsi="Noto Sans Bamum SemiBold" w:cs="Noto Sans Bamum SemiBol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pPr>
    <w:rPr>
      <w:rFonts w:ascii="Noto Sans Bamum Medium" w:eastAsia="Noto Sans Bamum Medium" w:hAnsi="Noto Sans Bamum Medium" w:cs="Noto Sans Bamum Medium"/>
      <w:color w:val="54595F"/>
      <w:sz w:val="24"/>
      <w:szCs w:val="24"/>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paragraph" w:styleId="Sous-titre">
    <w:name w:val="Subtitle"/>
    <w:basedOn w:val="Normal"/>
    <w:next w:val="Normal"/>
    <w:uiPriority w:val="11"/>
    <w:qFormat/>
    <w:pPr>
      <w:keepNext/>
      <w:keepLines/>
      <w:spacing w:line="276" w:lineRule="auto"/>
    </w:pPr>
    <w:rPr>
      <w:b/>
      <w:bCs/>
      <w:color w:val="54595F"/>
      <w:sz w:val="20"/>
      <w:szCs w:val="20"/>
    </w:r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paragraph" w:styleId="NormalWeb">
    <w:name w:val="Normal (Web)"/>
    <w:basedOn w:val="Normal"/>
    <w:uiPriority w:val="99"/>
    <w:unhideWhenUsed/>
    <w:rsid w:val="00A31853"/>
    <w:pPr>
      <w:spacing w:before="100" w:beforeAutospacing="1" w:after="100" w:afterAutospacing="1" w:line="240" w:lineRule="auto"/>
    </w:pPr>
    <w:rPr>
      <w:rFonts w:ascii="Times New Roman" w:eastAsia="Times New Roman" w:hAnsi="Times New Roman" w:cs="Times New Roman"/>
      <w:sz w:val="24"/>
      <w:szCs w:val="24"/>
      <w:lang w:val="fr-CA"/>
    </w:rPr>
  </w:style>
  <w:style w:type="character" w:styleId="lev">
    <w:name w:val="Strong"/>
    <w:basedOn w:val="Policepardfaut"/>
    <w:uiPriority w:val="22"/>
    <w:qFormat/>
    <w:rsid w:val="00A31853"/>
    <w:rPr>
      <w:b/>
      <w:bCs/>
    </w:rPr>
  </w:style>
  <w:style w:type="paragraph" w:styleId="En-tte">
    <w:name w:val="header"/>
    <w:basedOn w:val="Normal"/>
    <w:link w:val="En-tteCar"/>
    <w:uiPriority w:val="99"/>
    <w:unhideWhenUsed/>
    <w:rsid w:val="00A31853"/>
    <w:pPr>
      <w:tabs>
        <w:tab w:val="center" w:pos="4320"/>
        <w:tab w:val="right" w:pos="8640"/>
      </w:tabs>
      <w:spacing w:line="240" w:lineRule="auto"/>
    </w:pPr>
  </w:style>
  <w:style w:type="character" w:customStyle="1" w:styleId="En-tteCar">
    <w:name w:val="En-tête Car"/>
    <w:basedOn w:val="Policepardfaut"/>
    <w:link w:val="En-tte"/>
    <w:uiPriority w:val="99"/>
    <w:rsid w:val="00A31853"/>
  </w:style>
  <w:style w:type="paragraph" w:styleId="Pieddepage">
    <w:name w:val="footer"/>
    <w:basedOn w:val="Normal"/>
    <w:link w:val="PieddepageCar"/>
    <w:uiPriority w:val="99"/>
    <w:unhideWhenUsed/>
    <w:rsid w:val="00A31853"/>
    <w:pPr>
      <w:tabs>
        <w:tab w:val="center" w:pos="4320"/>
        <w:tab w:val="right" w:pos="8640"/>
      </w:tabs>
      <w:spacing w:line="240" w:lineRule="auto"/>
    </w:pPr>
  </w:style>
  <w:style w:type="character" w:customStyle="1" w:styleId="PieddepageCar">
    <w:name w:val="Pied de page Car"/>
    <w:basedOn w:val="Policepardfaut"/>
    <w:link w:val="Pieddepage"/>
    <w:uiPriority w:val="99"/>
    <w:rsid w:val="00A31853"/>
  </w:style>
  <w:style w:type="character" w:styleId="Hyperlien">
    <w:name w:val="Hyperlink"/>
    <w:basedOn w:val="Policepardfaut"/>
    <w:uiPriority w:val="99"/>
    <w:unhideWhenUsed/>
    <w:rsid w:val="00E44553"/>
    <w:rPr>
      <w:color w:val="0000FF" w:themeColor="hyperlink"/>
      <w:u w:val="single"/>
    </w:rPr>
  </w:style>
  <w:style w:type="character" w:styleId="Mentionnonrsolue">
    <w:name w:val="Unresolved Mention"/>
    <w:basedOn w:val="Policepardfaut"/>
    <w:uiPriority w:val="99"/>
    <w:semiHidden/>
    <w:unhideWhenUsed/>
    <w:rsid w:val="00E44553"/>
    <w:rPr>
      <w:color w:val="605E5C"/>
      <w:shd w:val="clear" w:color="auto" w:fill="E1DFDD"/>
    </w:rPr>
  </w:style>
  <w:style w:type="character" w:styleId="Lienvisit">
    <w:name w:val="FollowedHyperlink"/>
    <w:basedOn w:val="Policepardfaut"/>
    <w:uiPriority w:val="99"/>
    <w:semiHidden/>
    <w:unhideWhenUsed/>
    <w:rsid w:val="00E445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fi.fr/fr/emission/20181021-colonisation-est-une-domination-terres-peuples-cultures-corp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xfamfrance.org/app/uploads/2025/01/Oxfam_rapport-Lart-de-prendre-sans-entreprendre_200125_compressed.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s.hal.science/halshs-00266214v1/documen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usito.usherbrooke.ca/d%C3%A9finitions/privil%C3%A8ge" TargetMode="External"/><Relationship Id="rId4" Type="http://schemas.openxmlformats.org/officeDocument/2006/relationships/settings" Target="settings.xml"/><Relationship Id="rId9" Type="http://schemas.openxmlformats.org/officeDocument/2006/relationships/hyperlink" Target="https://journals.openedition.org/traces/9428"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Y9BGhFYHUedFstDBXLfrqdIbPg==">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427</Words>
  <Characters>2351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BG</dc:creator>
  <cp:lastModifiedBy>Perrine Curé</cp:lastModifiedBy>
  <cp:revision>2</cp:revision>
  <dcterms:created xsi:type="dcterms:W3CDTF">2026-02-02T17:12:00Z</dcterms:created>
  <dcterms:modified xsi:type="dcterms:W3CDTF">2026-02-02T17:12:00Z</dcterms:modified>
</cp:coreProperties>
</file>