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18199" w14:textId="77777777" w:rsidR="002949A0" w:rsidRDefault="002949A0">
      <w:pPr>
        <w:widowControl w:val="0"/>
        <w:pBdr>
          <w:top w:val="nil"/>
          <w:left w:val="nil"/>
          <w:bottom w:val="nil"/>
          <w:right w:val="nil"/>
          <w:between w:val="nil"/>
        </w:pBdr>
        <w:spacing w:after="0"/>
        <w:rPr>
          <w:rFonts w:ascii="Arial" w:eastAsia="Arial" w:hAnsi="Arial" w:cs="Arial"/>
          <w:color w:val="000000"/>
        </w:rPr>
      </w:pPr>
    </w:p>
    <w:tbl>
      <w:tblPr>
        <w:tblStyle w:val="a2"/>
        <w:tblW w:w="10348"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5104"/>
        <w:gridCol w:w="141"/>
        <w:gridCol w:w="1721"/>
        <w:gridCol w:w="3382"/>
      </w:tblGrid>
      <w:tr w:rsidR="002949A0" w14:paraId="11F9394E" w14:textId="77777777">
        <w:trPr>
          <w:trHeight w:val="664"/>
        </w:trPr>
        <w:tc>
          <w:tcPr>
            <w:tcW w:w="6966" w:type="dxa"/>
            <w:gridSpan w:val="3"/>
            <w:shd w:val="clear" w:color="auto" w:fill="000000"/>
            <w:vAlign w:val="center"/>
          </w:tcPr>
          <w:p w14:paraId="127583C1" w14:textId="77777777" w:rsidR="002949A0" w:rsidRDefault="00FD3544">
            <w:pPr>
              <w:spacing w:before="240"/>
              <w:rPr>
                <w:b/>
                <w:color w:val="F2F2F2"/>
                <w:sz w:val="32"/>
                <w:szCs w:val="32"/>
              </w:rPr>
            </w:pPr>
            <w:r>
              <w:rPr>
                <w:color w:val="F2F2F2"/>
                <w:sz w:val="32"/>
                <w:szCs w:val="32"/>
              </w:rPr>
              <w:t>Culture et citoyenneté québécoise</w:t>
            </w:r>
          </w:p>
        </w:tc>
        <w:tc>
          <w:tcPr>
            <w:tcW w:w="3382" w:type="dxa"/>
            <w:shd w:val="clear" w:color="auto" w:fill="EDEDED"/>
            <w:vAlign w:val="center"/>
          </w:tcPr>
          <w:p w14:paraId="414C4D4B" w14:textId="77777777" w:rsidR="002949A0" w:rsidRDefault="00FD3544">
            <w:pPr>
              <w:rPr>
                <w:b/>
              </w:rPr>
            </w:pPr>
            <w:r>
              <w:rPr>
                <w:b/>
              </w:rPr>
              <w:t>Année du secondaire : 4</w:t>
            </w:r>
            <w:r>
              <w:rPr>
                <w:b/>
                <w:vertAlign w:val="superscript"/>
              </w:rPr>
              <w:t>e</w:t>
            </w:r>
            <w:r>
              <w:rPr>
                <w:b/>
              </w:rPr>
              <w:t xml:space="preserve"> secondaire</w:t>
            </w:r>
          </w:p>
          <w:p w14:paraId="273E0958" w14:textId="77777777" w:rsidR="002949A0" w:rsidRDefault="002949A0">
            <w:pPr>
              <w:pBdr>
                <w:top w:val="nil"/>
                <w:left w:val="nil"/>
                <w:bottom w:val="nil"/>
                <w:right w:val="nil"/>
                <w:between w:val="nil"/>
              </w:pBdr>
              <w:spacing w:after="0" w:line="240" w:lineRule="auto"/>
            </w:pPr>
          </w:p>
        </w:tc>
      </w:tr>
      <w:tr w:rsidR="002949A0" w14:paraId="56A17BCB" w14:textId="77777777">
        <w:trPr>
          <w:trHeight w:val="1297"/>
        </w:trPr>
        <w:tc>
          <w:tcPr>
            <w:tcW w:w="6966" w:type="dxa"/>
            <w:gridSpan w:val="3"/>
            <w:vMerge w:val="restart"/>
            <w:shd w:val="clear" w:color="auto" w:fill="DBDBDB"/>
          </w:tcPr>
          <w:p w14:paraId="211831FD" w14:textId="77777777" w:rsidR="002949A0" w:rsidRDefault="00FD3544">
            <w:pPr>
              <w:rPr>
                <w:b/>
              </w:rPr>
            </w:pPr>
            <w:r>
              <w:rPr>
                <w:b/>
              </w:rPr>
              <w:t>TITRE DE LA SAE :</w:t>
            </w:r>
          </w:p>
          <w:p w14:paraId="384289C8" w14:textId="77777777" w:rsidR="002949A0" w:rsidRDefault="00FD3544">
            <w:r>
              <w:rPr>
                <w:noProof/>
              </w:rPr>
              <mc:AlternateContent>
                <mc:Choice Requires="wpg">
                  <w:drawing>
                    <wp:anchor distT="0" distB="0" distL="114300" distR="114300" simplePos="0" relativeHeight="251658240" behindDoc="0" locked="0" layoutInCell="1" hidden="0" allowOverlap="1" wp14:anchorId="7A3F5BEB" wp14:editId="6BB630FE">
                      <wp:simplePos x="0" y="0"/>
                      <wp:positionH relativeFrom="column">
                        <wp:posOffset>266700</wp:posOffset>
                      </wp:positionH>
                      <wp:positionV relativeFrom="paragraph">
                        <wp:posOffset>38100</wp:posOffset>
                      </wp:positionV>
                      <wp:extent cx="3676650" cy="480028"/>
                      <wp:effectExtent l="0" t="0" r="0" b="0"/>
                      <wp:wrapNone/>
                      <wp:docPr id="2140052927" name="Rectangle 2140052927"/>
                      <wp:cNvGraphicFramePr/>
                      <a:graphic xmlns:a="http://schemas.openxmlformats.org/drawingml/2006/main">
                        <a:graphicData uri="http://schemas.microsoft.com/office/word/2010/wordprocessingShape">
                          <wps:wsp>
                            <wps:cNvSpPr/>
                            <wps:spPr>
                              <a:xfrm>
                                <a:off x="3526725" y="3559036"/>
                                <a:ext cx="3638550" cy="441928"/>
                              </a:xfrm>
                              <a:prstGeom prst="rect">
                                <a:avLst/>
                              </a:prstGeom>
                              <a:solidFill>
                                <a:srgbClr val="EDEDED"/>
                              </a:solidFill>
                              <a:ln w="38100" cap="flat" cmpd="sng">
                                <a:solidFill>
                                  <a:srgbClr val="525252"/>
                                </a:solidFill>
                                <a:prstDash val="solid"/>
                                <a:miter lim="800000"/>
                                <a:headEnd type="none" w="sm" len="sm"/>
                                <a:tailEnd type="none" w="sm" len="sm"/>
                              </a:ln>
                              <a:effectLst>
                                <a:outerShdw dist="28398" dir="3806097" algn="ctr" rotWithShape="0">
                                  <a:srgbClr val="525252">
                                    <a:alpha val="49019"/>
                                  </a:srgbClr>
                                </a:outerShdw>
                              </a:effectLst>
                            </wps:spPr>
                            <wps:txbx>
                              <w:txbxContent>
                                <w:p w14:paraId="77C25B7C" w14:textId="77777777" w:rsidR="002949A0" w:rsidRDefault="00FD3544">
                                  <w:pPr>
                                    <w:spacing w:line="275" w:lineRule="auto"/>
                                    <w:textDirection w:val="btLr"/>
                                  </w:pPr>
                                  <w:r>
                                    <w:rPr>
                                      <w:color w:val="000000"/>
                                      <w:sz w:val="32"/>
                                    </w:rPr>
                                    <w:t>Cultures et inégalités sous la loupe!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38100</wp:posOffset>
                      </wp:positionV>
                      <wp:extent cx="3676650" cy="480028"/>
                      <wp:effectExtent b="0" l="0" r="0" t="0"/>
                      <wp:wrapNone/>
                      <wp:docPr id="21400529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676650" cy="480028"/>
                              </a:xfrm>
                              <a:prstGeom prst="rect"/>
                              <a:ln/>
                            </pic:spPr>
                          </pic:pic>
                        </a:graphicData>
                      </a:graphic>
                    </wp:anchor>
                  </w:drawing>
                </mc:Fallback>
              </mc:AlternateContent>
            </w:r>
          </w:p>
        </w:tc>
        <w:tc>
          <w:tcPr>
            <w:tcW w:w="3382" w:type="dxa"/>
            <w:shd w:val="clear" w:color="auto" w:fill="EDEDED"/>
            <w:vAlign w:val="center"/>
          </w:tcPr>
          <w:p w14:paraId="6BAC9372" w14:textId="77777777" w:rsidR="002949A0" w:rsidRDefault="00FD3544">
            <w:pPr>
              <w:rPr>
                <w:b/>
              </w:rPr>
            </w:pPr>
            <w:r>
              <w:rPr>
                <w:b/>
              </w:rPr>
              <w:t xml:space="preserve">Durée : </w:t>
            </w:r>
            <w:r>
              <w:t>4 heures</w:t>
            </w:r>
          </w:p>
        </w:tc>
      </w:tr>
      <w:tr w:rsidR="002949A0" w14:paraId="330A51FA" w14:textId="77777777">
        <w:trPr>
          <w:trHeight w:val="107"/>
        </w:trPr>
        <w:tc>
          <w:tcPr>
            <w:tcW w:w="6966" w:type="dxa"/>
            <w:gridSpan w:val="3"/>
            <w:vMerge/>
            <w:shd w:val="clear" w:color="auto" w:fill="DBDBDB"/>
          </w:tcPr>
          <w:p w14:paraId="0C16EC7F" w14:textId="77777777" w:rsidR="002949A0" w:rsidRDefault="002949A0">
            <w:pPr>
              <w:widowControl w:val="0"/>
              <w:pBdr>
                <w:top w:val="nil"/>
                <w:left w:val="nil"/>
                <w:bottom w:val="nil"/>
                <w:right w:val="nil"/>
                <w:between w:val="nil"/>
              </w:pBdr>
              <w:spacing w:after="0"/>
              <w:rPr>
                <w:b/>
              </w:rPr>
            </w:pPr>
          </w:p>
        </w:tc>
        <w:tc>
          <w:tcPr>
            <w:tcW w:w="3382" w:type="dxa"/>
            <w:shd w:val="clear" w:color="auto" w:fill="EDEDED"/>
            <w:vAlign w:val="center"/>
          </w:tcPr>
          <w:p w14:paraId="667B7E21" w14:textId="77777777" w:rsidR="002949A0" w:rsidRDefault="00FD3544">
            <w:pPr>
              <w:pBdr>
                <w:top w:val="nil"/>
                <w:left w:val="nil"/>
                <w:bottom w:val="nil"/>
                <w:right w:val="nil"/>
                <w:between w:val="nil"/>
              </w:pBdr>
              <w:ind w:left="56"/>
              <w:rPr>
                <w:b/>
                <w:color w:val="000000"/>
              </w:rPr>
            </w:pPr>
            <w:r>
              <w:rPr>
                <w:b/>
                <w:color w:val="000000"/>
              </w:rPr>
              <w:t>Type de SAE :</w:t>
            </w:r>
          </w:p>
          <w:p w14:paraId="2AA2A875" w14:textId="77777777" w:rsidR="002949A0" w:rsidRDefault="00FD3544">
            <w:pPr>
              <w:pBdr>
                <w:top w:val="nil"/>
                <w:left w:val="nil"/>
                <w:bottom w:val="nil"/>
                <w:right w:val="nil"/>
                <w:between w:val="nil"/>
              </w:pBdr>
              <w:spacing w:after="0" w:line="240" w:lineRule="auto"/>
              <w:rPr>
                <w:color w:val="000000"/>
              </w:rPr>
            </w:pPr>
            <w:r>
              <w:rPr>
                <w:color w:val="000000"/>
              </w:rPr>
              <w:t>🗹</w:t>
            </w:r>
            <w:r>
              <w:rPr>
                <w:color w:val="000000"/>
              </w:rPr>
              <w:t xml:space="preserve"> Disciplinaire </w:t>
            </w:r>
          </w:p>
          <w:p w14:paraId="3D255CA2" w14:textId="1F6248DD" w:rsidR="002949A0" w:rsidRDefault="00FD3544">
            <w:pPr>
              <w:pBdr>
                <w:top w:val="nil"/>
                <w:left w:val="nil"/>
                <w:bottom w:val="nil"/>
                <w:right w:val="nil"/>
                <w:between w:val="nil"/>
              </w:pBdr>
              <w:spacing w:after="0" w:line="240" w:lineRule="auto"/>
              <w:rPr>
                <w:color w:val="000000"/>
              </w:rPr>
            </w:pPr>
            <w:r>
              <w:rPr>
                <w:color w:val="000000"/>
              </w:rPr>
              <w:t>□ Interdisciplina</w:t>
            </w:r>
            <w:r w:rsidR="001617EB">
              <w:rPr>
                <w:color w:val="000000"/>
              </w:rPr>
              <w:t>ire</w:t>
            </w:r>
            <w:r>
              <w:rPr>
                <w:color w:val="000000"/>
              </w:rPr>
              <w:t> </w:t>
            </w:r>
          </w:p>
          <w:p w14:paraId="5D5F7B4E" w14:textId="77777777" w:rsidR="002949A0" w:rsidRDefault="002949A0">
            <w:pPr>
              <w:pBdr>
                <w:top w:val="nil"/>
                <w:left w:val="nil"/>
                <w:bottom w:val="nil"/>
                <w:right w:val="nil"/>
                <w:between w:val="nil"/>
              </w:pBdr>
              <w:spacing w:after="0" w:line="240" w:lineRule="auto"/>
              <w:rPr>
                <w:b/>
              </w:rPr>
            </w:pPr>
          </w:p>
        </w:tc>
      </w:tr>
      <w:tr w:rsidR="002949A0" w14:paraId="683BA936" w14:textId="77777777">
        <w:trPr>
          <w:trHeight w:val="3237"/>
        </w:trPr>
        <w:tc>
          <w:tcPr>
            <w:tcW w:w="10348" w:type="dxa"/>
            <w:gridSpan w:val="4"/>
            <w:shd w:val="clear" w:color="auto" w:fill="DBDBDB"/>
          </w:tcPr>
          <w:p w14:paraId="2DF7BA37" w14:textId="77777777" w:rsidR="002949A0" w:rsidRDefault="00FD3544">
            <w:pPr>
              <w:pBdr>
                <w:top w:val="nil"/>
                <w:left w:val="nil"/>
                <w:bottom w:val="nil"/>
                <w:right w:val="nil"/>
                <w:between w:val="nil"/>
              </w:pBdr>
              <w:spacing w:after="0" w:line="240" w:lineRule="auto"/>
              <w:rPr>
                <w:color w:val="000000"/>
              </w:rPr>
            </w:pPr>
            <w:r>
              <w:rPr>
                <w:b/>
                <w:color w:val="000000"/>
              </w:rPr>
              <w:t xml:space="preserve">Compétences développées : </w:t>
            </w:r>
            <w:r>
              <w:rPr>
                <w:color w:val="000000"/>
              </w:rPr>
              <w:t>C1 (Étudier des réalités culturelles) et C2 (Réfléchir sur des questions éthiques)</w:t>
            </w:r>
          </w:p>
          <w:p w14:paraId="13AF9405" w14:textId="77777777" w:rsidR="002949A0" w:rsidRDefault="002949A0">
            <w:pPr>
              <w:pBdr>
                <w:top w:val="nil"/>
                <w:left w:val="nil"/>
                <w:bottom w:val="nil"/>
                <w:right w:val="nil"/>
                <w:between w:val="nil"/>
              </w:pBdr>
              <w:spacing w:after="0" w:line="240" w:lineRule="auto"/>
              <w:ind w:left="57"/>
              <w:rPr>
                <w:b/>
                <w:color w:val="000000"/>
              </w:rPr>
            </w:pPr>
          </w:p>
          <w:p w14:paraId="51CE3498" w14:textId="77777777" w:rsidR="002949A0" w:rsidRDefault="00FD3544">
            <w:pPr>
              <w:pBdr>
                <w:top w:val="nil"/>
                <w:left w:val="nil"/>
                <w:bottom w:val="nil"/>
                <w:right w:val="nil"/>
                <w:between w:val="nil"/>
              </w:pBdr>
              <w:spacing w:after="0" w:line="240" w:lineRule="auto"/>
              <w:rPr>
                <w:b/>
                <w:color w:val="000000"/>
              </w:rPr>
            </w:pPr>
            <w:r>
              <w:rPr>
                <w:b/>
                <w:color w:val="000000"/>
              </w:rPr>
              <w:t xml:space="preserve">Compétence évaluée : </w:t>
            </w:r>
            <w:r>
              <w:rPr>
                <w:color w:val="000000"/>
              </w:rPr>
              <w:t>C2 (Réfléchir sur des questions éthiques)</w:t>
            </w:r>
          </w:p>
          <w:p w14:paraId="6EC48E92" w14:textId="77777777" w:rsidR="002949A0" w:rsidRDefault="002949A0">
            <w:pPr>
              <w:pBdr>
                <w:top w:val="nil"/>
                <w:left w:val="nil"/>
                <w:bottom w:val="nil"/>
                <w:right w:val="nil"/>
                <w:between w:val="nil"/>
              </w:pBdr>
              <w:spacing w:after="0" w:line="240" w:lineRule="auto"/>
              <w:ind w:left="57"/>
              <w:rPr>
                <w:b/>
                <w:color w:val="000000"/>
              </w:rPr>
            </w:pPr>
          </w:p>
          <w:p w14:paraId="059E71B3" w14:textId="77777777" w:rsidR="002949A0" w:rsidRDefault="00FD3544">
            <w:pPr>
              <w:pBdr>
                <w:top w:val="nil"/>
                <w:left w:val="nil"/>
                <w:bottom w:val="nil"/>
                <w:right w:val="nil"/>
                <w:between w:val="nil"/>
              </w:pBdr>
              <w:jc w:val="both"/>
              <w:rPr>
                <w:b/>
                <w:color w:val="000000"/>
              </w:rPr>
            </w:pPr>
            <w:r>
              <w:rPr>
                <w:b/>
                <w:color w:val="000000"/>
              </w:rPr>
              <w:t xml:space="preserve">Dynamique entre les compétences : </w:t>
            </w:r>
          </w:p>
          <w:p w14:paraId="2A7CA0D8" w14:textId="77777777" w:rsidR="002949A0" w:rsidRDefault="00FD3544">
            <w:r>
              <w:t xml:space="preserve">Dans le cadre de cette activité, vous serez invités à guider les élèves dans une démarche active d'exploration et de réflexion sur les réalités culturelles contemporaines. Cette exploration inclura l'analyse des inégalités sociales, en mettant particulièrement en lumière comment les institutions influencent les dynamiques sociales et culturelles (compétence 1). En se plongeant dans ces thématiques, la classe est amenée à s’interroger sur les enjeux sociaux qui en découlent, renforçant ainsi leur aptitude à </w:t>
            </w:r>
            <w:r>
              <w:t>réfléchir sur des questions éthiques (compétence 2).</w:t>
            </w:r>
          </w:p>
          <w:p w14:paraId="0A333685" w14:textId="77777777" w:rsidR="002949A0" w:rsidRDefault="00FD3544">
            <w:pPr>
              <w:pBdr>
                <w:top w:val="nil"/>
                <w:left w:val="nil"/>
                <w:bottom w:val="nil"/>
                <w:right w:val="nil"/>
                <w:between w:val="nil"/>
              </w:pBdr>
              <w:spacing w:after="0" w:line="240" w:lineRule="auto"/>
              <w:rPr>
                <w:b/>
                <w:color w:val="000000"/>
              </w:rPr>
            </w:pPr>
            <w:r>
              <w:t>Cette approche permet de travailler les composantes « de manière itérative, en passant de l'une à l'autre de manière flexible et adaptée au contexte » (Programme CCQ, p.17).</w:t>
            </w:r>
          </w:p>
          <w:p w14:paraId="69BF3AB2" w14:textId="77777777" w:rsidR="002949A0" w:rsidRDefault="002949A0">
            <w:pPr>
              <w:pBdr>
                <w:top w:val="nil"/>
                <w:left w:val="nil"/>
                <w:bottom w:val="nil"/>
                <w:right w:val="nil"/>
                <w:between w:val="nil"/>
              </w:pBdr>
              <w:ind w:left="56"/>
              <w:rPr>
                <w:b/>
                <w:color w:val="000000"/>
                <w:highlight w:val="yellow"/>
              </w:rPr>
            </w:pPr>
          </w:p>
        </w:tc>
      </w:tr>
      <w:tr w:rsidR="002949A0" w14:paraId="1829D31E" w14:textId="77777777">
        <w:trPr>
          <w:trHeight w:val="2032"/>
        </w:trPr>
        <w:tc>
          <w:tcPr>
            <w:tcW w:w="6966" w:type="dxa"/>
            <w:gridSpan w:val="3"/>
            <w:shd w:val="clear" w:color="auto" w:fill="DBDBDB"/>
          </w:tcPr>
          <w:p w14:paraId="53D761B2" w14:textId="48801493" w:rsidR="002949A0" w:rsidRDefault="00FD3544">
            <w:pPr>
              <w:widowControl w:val="0"/>
              <w:pBdr>
                <w:top w:val="nil"/>
                <w:left w:val="nil"/>
                <w:bottom w:val="nil"/>
                <w:right w:val="nil"/>
                <w:between w:val="nil"/>
              </w:pBdr>
              <w:rPr>
                <w:b/>
              </w:rPr>
            </w:pPr>
            <w:r>
              <w:rPr>
                <w:b/>
              </w:rPr>
              <w:t xml:space="preserve">Thème principal : </w:t>
            </w:r>
            <w:r>
              <w:t>Culture et productions symboliques (</w:t>
            </w:r>
            <w:r w:rsidR="006D3ACB">
              <w:t>P</w:t>
            </w:r>
            <w:r>
              <w:t>rogramme CCQ, p.43).</w:t>
            </w:r>
          </w:p>
          <w:p w14:paraId="08CBC4C8" w14:textId="091748BF" w:rsidR="002949A0" w:rsidRDefault="00FD3544">
            <w:pPr>
              <w:widowControl w:val="0"/>
              <w:pBdr>
                <w:top w:val="nil"/>
                <w:left w:val="nil"/>
                <w:bottom w:val="nil"/>
                <w:right w:val="nil"/>
                <w:between w:val="nil"/>
              </w:pBdr>
              <w:rPr>
                <w:b/>
              </w:rPr>
            </w:pPr>
            <w:r>
              <w:rPr>
                <w:b/>
              </w:rPr>
              <w:t xml:space="preserve">Thème secondaire :  </w:t>
            </w:r>
            <w:r>
              <w:t>Justice et droit (</w:t>
            </w:r>
            <w:r w:rsidR="006D3ACB">
              <w:t>P</w:t>
            </w:r>
            <w:r>
              <w:t>rogramme CCQ, p.41).</w:t>
            </w:r>
          </w:p>
          <w:p w14:paraId="0C48DB57" w14:textId="77777777" w:rsidR="002949A0" w:rsidRDefault="002949A0">
            <w:pPr>
              <w:widowControl w:val="0"/>
              <w:pBdr>
                <w:top w:val="nil"/>
                <w:left w:val="nil"/>
                <w:bottom w:val="nil"/>
                <w:right w:val="nil"/>
                <w:between w:val="nil"/>
              </w:pBdr>
              <w:rPr>
                <w:b/>
              </w:rPr>
            </w:pPr>
          </w:p>
        </w:tc>
        <w:tc>
          <w:tcPr>
            <w:tcW w:w="3382" w:type="dxa"/>
            <w:shd w:val="clear" w:color="auto" w:fill="EDEDED"/>
          </w:tcPr>
          <w:p w14:paraId="6213524C" w14:textId="77777777" w:rsidR="002949A0" w:rsidRDefault="00FD3544">
            <w:pPr>
              <w:pBdr>
                <w:top w:val="nil"/>
                <w:left w:val="nil"/>
                <w:bottom w:val="nil"/>
                <w:right w:val="nil"/>
                <w:between w:val="nil"/>
              </w:pBdr>
              <w:spacing w:after="0" w:line="240" w:lineRule="auto"/>
              <w:rPr>
                <w:b/>
                <w:color w:val="000000"/>
              </w:rPr>
            </w:pPr>
            <w:r>
              <w:rPr>
                <w:b/>
                <w:color w:val="000000"/>
              </w:rPr>
              <w:t>Repères mobilisés :</w:t>
            </w:r>
          </w:p>
          <w:p w14:paraId="1A492892" w14:textId="77777777" w:rsidR="002949A0" w:rsidRDefault="002949A0">
            <w:pPr>
              <w:pBdr>
                <w:top w:val="nil"/>
                <w:left w:val="nil"/>
                <w:bottom w:val="nil"/>
                <w:right w:val="nil"/>
                <w:between w:val="nil"/>
              </w:pBdr>
              <w:spacing w:after="0" w:line="240" w:lineRule="auto"/>
              <w:rPr>
                <w:b/>
                <w:color w:val="000000"/>
              </w:rPr>
            </w:pPr>
          </w:p>
          <w:p w14:paraId="03A61F4B" w14:textId="77777777" w:rsidR="002949A0" w:rsidRDefault="00FD3544">
            <w:pPr>
              <w:numPr>
                <w:ilvl w:val="0"/>
                <w:numId w:val="2"/>
              </w:numPr>
              <w:pBdr>
                <w:top w:val="nil"/>
                <w:left w:val="nil"/>
                <w:bottom w:val="nil"/>
                <w:right w:val="nil"/>
                <w:between w:val="nil"/>
              </w:pBdr>
              <w:spacing w:after="0"/>
              <w:rPr>
                <w:color w:val="000000"/>
              </w:rPr>
            </w:pPr>
            <w:r w:rsidRPr="006D3ACB">
              <w:rPr>
                <w:b/>
                <w:bCs/>
                <w:color w:val="000000"/>
              </w:rPr>
              <w:t>Repères sociologiques :</w:t>
            </w:r>
            <w:r>
              <w:rPr>
                <w:color w:val="000000"/>
              </w:rPr>
              <w:t xml:space="preserve"> Théories de Pierre Bourdieu et </w:t>
            </w:r>
            <w:proofErr w:type="spellStart"/>
            <w:r>
              <w:rPr>
                <w:color w:val="000000"/>
              </w:rPr>
              <w:t>bell</w:t>
            </w:r>
            <w:proofErr w:type="spellEnd"/>
            <w:r>
              <w:rPr>
                <w:color w:val="000000"/>
              </w:rPr>
              <w:t xml:space="preserve"> </w:t>
            </w:r>
            <w:proofErr w:type="spellStart"/>
            <w:r>
              <w:rPr>
                <w:color w:val="000000"/>
              </w:rPr>
              <w:t>hooks</w:t>
            </w:r>
            <w:proofErr w:type="spellEnd"/>
            <w:r>
              <w:rPr>
                <w:color w:val="000000"/>
              </w:rPr>
              <w:t>.</w:t>
            </w:r>
          </w:p>
          <w:p w14:paraId="170B20D8" w14:textId="77777777" w:rsidR="002949A0" w:rsidRDefault="00FD3544">
            <w:pPr>
              <w:numPr>
                <w:ilvl w:val="0"/>
                <w:numId w:val="2"/>
              </w:numPr>
              <w:pBdr>
                <w:top w:val="nil"/>
                <w:left w:val="nil"/>
                <w:bottom w:val="nil"/>
                <w:right w:val="nil"/>
                <w:between w:val="nil"/>
              </w:pBdr>
              <w:spacing w:after="0"/>
              <w:rPr>
                <w:color w:val="000000"/>
              </w:rPr>
            </w:pPr>
            <w:r w:rsidRPr="006D3ACB">
              <w:rPr>
                <w:b/>
                <w:bCs/>
                <w:color w:val="000000"/>
              </w:rPr>
              <w:t>Repères culturels :</w:t>
            </w:r>
            <w:r>
              <w:rPr>
                <w:color w:val="000000"/>
              </w:rPr>
              <w:t xml:space="preserve"> Notions de culture et de sous-culture.</w:t>
            </w:r>
          </w:p>
          <w:p w14:paraId="598681AE" w14:textId="05F242C2" w:rsidR="002949A0" w:rsidRPr="006D3ACB" w:rsidRDefault="00FD3544" w:rsidP="006D3ACB">
            <w:pPr>
              <w:numPr>
                <w:ilvl w:val="0"/>
                <w:numId w:val="2"/>
              </w:numPr>
              <w:pBdr>
                <w:top w:val="nil"/>
                <w:left w:val="nil"/>
                <w:bottom w:val="nil"/>
                <w:right w:val="nil"/>
                <w:between w:val="nil"/>
              </w:pBdr>
              <w:rPr>
                <w:color w:val="000000"/>
              </w:rPr>
            </w:pPr>
            <w:r w:rsidRPr="006D3ACB">
              <w:rPr>
                <w:b/>
                <w:bCs/>
                <w:color w:val="000000"/>
              </w:rPr>
              <w:t>Repères éthiques :</w:t>
            </w:r>
            <w:r>
              <w:rPr>
                <w:color w:val="000000"/>
              </w:rPr>
              <w:t xml:space="preserve"> Enjeux liés aux inégalités sociales et ses solutions possibles.</w:t>
            </w:r>
          </w:p>
        </w:tc>
      </w:tr>
      <w:tr w:rsidR="002949A0" w14:paraId="48CAD6DA" w14:textId="77777777">
        <w:trPr>
          <w:trHeight w:val="753"/>
        </w:trPr>
        <w:tc>
          <w:tcPr>
            <w:tcW w:w="10348" w:type="dxa"/>
            <w:gridSpan w:val="4"/>
            <w:shd w:val="clear" w:color="auto" w:fill="DBDBDB"/>
          </w:tcPr>
          <w:p w14:paraId="1794F6C0" w14:textId="77777777" w:rsidR="002949A0" w:rsidRDefault="00FD3544">
            <w:pPr>
              <w:jc w:val="both"/>
            </w:pPr>
            <w:r>
              <w:rPr>
                <w:b/>
              </w:rPr>
              <w:t>Intention pédagogique de la SAE :</w:t>
            </w:r>
            <w:r>
              <w:t xml:space="preserve"> Cette SAE vise à guider les élèves vers une compréhension approfondie des concepts de culture et de sous-culture, en les incitant à adopter une démarche critique semblable à celle utilisée </w:t>
            </w:r>
            <w:r>
              <w:lastRenderedPageBreak/>
              <w:t>en sociologie. De plus, il s'agit de sensibiliser les élèves à la reconnaissance des formes d'inégalités plus subtiles et de les identifier à travers diverses dynamiques sociales.</w:t>
            </w:r>
          </w:p>
        </w:tc>
      </w:tr>
      <w:tr w:rsidR="002949A0" w14:paraId="7DA22633" w14:textId="77777777">
        <w:trPr>
          <w:trHeight w:val="380"/>
        </w:trPr>
        <w:tc>
          <w:tcPr>
            <w:tcW w:w="10348" w:type="dxa"/>
            <w:gridSpan w:val="4"/>
            <w:shd w:val="clear" w:color="auto" w:fill="DBDBDB"/>
          </w:tcPr>
          <w:p w14:paraId="28A13E64" w14:textId="70E30174" w:rsidR="002949A0" w:rsidRDefault="00FD3544">
            <w:pPr>
              <w:pBdr>
                <w:top w:val="nil"/>
                <w:left w:val="nil"/>
                <w:bottom w:val="nil"/>
                <w:right w:val="nil"/>
                <w:between w:val="nil"/>
              </w:pBdr>
              <w:spacing w:line="240" w:lineRule="auto"/>
              <w:jc w:val="both"/>
              <w:rPr>
                <w:color w:val="000000"/>
              </w:rPr>
            </w:pPr>
            <w:r>
              <w:rPr>
                <w:b/>
                <w:color w:val="000000"/>
              </w:rPr>
              <w:lastRenderedPageBreak/>
              <w:t xml:space="preserve">Résumé de la SAE </w:t>
            </w:r>
            <w:r>
              <w:rPr>
                <w:b/>
                <w:color w:val="000000"/>
                <w:sz w:val="24"/>
                <w:szCs w:val="24"/>
              </w:rPr>
              <w:t>:</w:t>
            </w:r>
            <w:r>
              <w:rPr>
                <w:rFonts w:ascii="Times New Roman" w:eastAsia="Times New Roman" w:hAnsi="Times New Roman" w:cs="Times New Roman"/>
                <w:color w:val="000000"/>
                <w:sz w:val="24"/>
                <w:szCs w:val="24"/>
              </w:rPr>
              <w:t xml:space="preserve"> </w:t>
            </w:r>
            <w:r>
              <w:rPr>
                <w:color w:val="000000"/>
              </w:rPr>
              <w:t>Cette SA</w:t>
            </w:r>
            <w:r w:rsidR="00352E0C">
              <w:rPr>
                <w:color w:val="000000"/>
              </w:rPr>
              <w:t>E</w:t>
            </w:r>
            <w:r>
              <w:rPr>
                <w:color w:val="000000"/>
              </w:rPr>
              <w:t xml:space="preserve"> se concentre sur l'étude approfondie de la culture et des sous-cultures, en mettant particulièrement en lumière les inégalités et les dynamiques culturelles. Les élèves exploreront ces concepts à travers diverses activités et études de cas. Chaque élève incarnera un personnage fictif, recevant une fiche personnalisée </w:t>
            </w:r>
            <w:r>
              <w:rPr>
                <w:b/>
                <w:color w:val="2F5496"/>
              </w:rPr>
              <w:t>(Annexe D)</w:t>
            </w:r>
            <w:r>
              <w:rPr>
                <w:color w:val="ED7D31"/>
              </w:rPr>
              <w:t xml:space="preserve"> </w:t>
            </w:r>
            <w:r>
              <w:rPr>
                <w:color w:val="000000"/>
              </w:rPr>
              <w:t>contenant les informations nécessaires pour relever les défis présentés par l’élève responsable d’animer</w:t>
            </w:r>
            <w:r>
              <w:rPr>
                <w:color w:val="000000"/>
              </w:rPr>
              <w:t xml:space="preserve"> </w:t>
            </w:r>
            <w:r>
              <w:rPr>
                <w:b/>
                <w:color w:val="2F5496"/>
              </w:rPr>
              <w:t>(Annexe D)</w:t>
            </w:r>
            <w:r>
              <w:rPr>
                <w:color w:val="2F5496"/>
              </w:rPr>
              <w:t>.</w:t>
            </w:r>
          </w:p>
          <w:p w14:paraId="46992EB8" w14:textId="6D7DC92F" w:rsidR="002949A0" w:rsidRPr="00AF7B14" w:rsidRDefault="00FD3544" w:rsidP="00AF7B14">
            <w:pPr>
              <w:pBdr>
                <w:top w:val="nil"/>
                <w:left w:val="nil"/>
                <w:bottom w:val="nil"/>
                <w:right w:val="nil"/>
                <w:between w:val="nil"/>
              </w:pBdr>
              <w:spacing w:before="280" w:after="280"/>
              <w:jc w:val="both"/>
              <w:rPr>
                <w:color w:val="000000"/>
              </w:rPr>
            </w:pPr>
            <w:r>
              <w:rPr>
                <w:color w:val="000000"/>
              </w:rPr>
              <w:t>À la fin de l'activité, les données collectées par chaque équipe seront analysées afin d'établir des constats et de faire des liens avec les notions abordées en cours. Des activités et des discussions seront intégrées tout au long de la SA</w:t>
            </w:r>
            <w:r w:rsidR="00352E0C">
              <w:rPr>
                <w:color w:val="000000"/>
              </w:rPr>
              <w:t>E</w:t>
            </w:r>
            <w:r>
              <w:rPr>
                <w:color w:val="000000"/>
              </w:rPr>
              <w:t xml:space="preserve">, permettant à chaque élève de partager ses ressentis et élaborer sa pensée. Avant de répondre à une question éthique, les élèves devront mobiliser les notions et les solutions discutées depuis le début du cours, dans le cadre d'une mise en scène proposée par la personne enseignante </w:t>
            </w:r>
            <w:r>
              <w:rPr>
                <w:b/>
                <w:color w:val="2F5496"/>
              </w:rPr>
              <w:t>(Annexe G)</w:t>
            </w:r>
            <w:r>
              <w:rPr>
                <w:color w:val="000000"/>
              </w:rPr>
              <w:t>. Cette mise en scène prendra la forme d'une activité inspirée</w:t>
            </w:r>
            <w:r>
              <w:rPr>
                <w:color w:val="FF0000"/>
              </w:rPr>
              <w:t xml:space="preserve"> </w:t>
            </w:r>
            <w:r>
              <w:rPr>
                <w:color w:val="000000"/>
              </w:rPr>
              <w:t xml:space="preserve">du théâtre des </w:t>
            </w:r>
            <w:proofErr w:type="spellStart"/>
            <w:r>
              <w:rPr>
                <w:color w:val="000000"/>
              </w:rPr>
              <w:t>opprimé.e.s</w:t>
            </w:r>
            <w:proofErr w:type="spellEnd"/>
            <w:r>
              <w:rPr>
                <w:color w:val="000000"/>
              </w:rPr>
              <w:t>, favorisant l'exploration critique et la réflexion sur les questions éthiques.</w:t>
            </w:r>
          </w:p>
        </w:tc>
      </w:tr>
      <w:tr w:rsidR="002949A0" w14:paraId="168F1DC6" w14:textId="77777777">
        <w:trPr>
          <w:trHeight w:val="380"/>
        </w:trPr>
        <w:tc>
          <w:tcPr>
            <w:tcW w:w="10348" w:type="dxa"/>
            <w:gridSpan w:val="4"/>
            <w:shd w:val="clear" w:color="auto" w:fill="DBDBDB"/>
          </w:tcPr>
          <w:p w14:paraId="50A07F2B" w14:textId="77777777" w:rsidR="002949A0" w:rsidRDefault="00FD3544">
            <w:pPr>
              <w:pBdr>
                <w:top w:val="nil"/>
                <w:left w:val="nil"/>
                <w:bottom w:val="nil"/>
                <w:right w:val="nil"/>
                <w:between w:val="nil"/>
              </w:pBdr>
              <w:ind w:left="56"/>
              <w:jc w:val="both"/>
              <w:rPr>
                <w:b/>
                <w:color w:val="000000"/>
              </w:rPr>
            </w:pPr>
            <w:r>
              <w:rPr>
                <w:b/>
                <w:color w:val="C00000"/>
              </w:rPr>
              <w:t>IMPORTANT [Mise en garde]</w:t>
            </w:r>
            <w:r>
              <w:rPr>
                <w:b/>
                <w:color w:val="000000"/>
              </w:rPr>
              <w:t xml:space="preserve"> : </w:t>
            </w:r>
          </w:p>
          <w:p w14:paraId="383B6C37" w14:textId="77777777" w:rsidR="002949A0" w:rsidRDefault="00FD3544">
            <w:pPr>
              <w:numPr>
                <w:ilvl w:val="0"/>
                <w:numId w:val="3"/>
              </w:numPr>
              <w:pBdr>
                <w:top w:val="nil"/>
                <w:left w:val="nil"/>
                <w:bottom w:val="nil"/>
                <w:right w:val="nil"/>
                <w:between w:val="nil"/>
              </w:pBdr>
              <w:spacing w:after="0"/>
              <w:jc w:val="both"/>
              <w:rPr>
                <w:b/>
                <w:color w:val="000000"/>
              </w:rPr>
            </w:pPr>
            <w:r>
              <w:rPr>
                <w:color w:val="000000"/>
              </w:rPr>
              <w:t xml:space="preserve">Il est important de préciser aux élèves que l'utilisation du terme "sous-culture", lors des enseignements, ne sous-entend en aucun cas une hiérarchie de valeur entre les cultures. </w:t>
            </w:r>
          </w:p>
          <w:p w14:paraId="5AB33A6B" w14:textId="77777777" w:rsidR="002949A0" w:rsidRDefault="002949A0">
            <w:pPr>
              <w:pBdr>
                <w:top w:val="nil"/>
                <w:left w:val="nil"/>
                <w:bottom w:val="nil"/>
                <w:right w:val="nil"/>
                <w:between w:val="nil"/>
              </w:pBdr>
              <w:spacing w:after="0"/>
              <w:ind w:left="416"/>
              <w:jc w:val="both"/>
              <w:rPr>
                <w:b/>
                <w:color w:val="000000"/>
              </w:rPr>
            </w:pPr>
          </w:p>
          <w:p w14:paraId="28D4FCCE" w14:textId="77777777" w:rsidR="002949A0" w:rsidRDefault="00FD3544">
            <w:pPr>
              <w:numPr>
                <w:ilvl w:val="0"/>
                <w:numId w:val="3"/>
              </w:numPr>
              <w:pBdr>
                <w:top w:val="nil"/>
                <w:left w:val="nil"/>
                <w:bottom w:val="nil"/>
                <w:right w:val="nil"/>
                <w:between w:val="nil"/>
              </w:pBdr>
              <w:spacing w:after="0" w:line="240" w:lineRule="auto"/>
              <w:jc w:val="both"/>
              <w:rPr>
                <w:b/>
                <w:color w:val="000000"/>
              </w:rPr>
            </w:pPr>
            <w:r>
              <w:rPr>
                <w:color w:val="000000"/>
              </w:rPr>
              <w:t xml:space="preserve">Le jeu « Capital culturel » </w:t>
            </w:r>
            <w:r>
              <w:rPr>
                <w:b/>
                <w:color w:val="2F5496"/>
              </w:rPr>
              <w:t>(Annexe D)</w:t>
            </w:r>
            <w:r>
              <w:rPr>
                <w:b/>
                <w:color w:val="ED7D31"/>
              </w:rPr>
              <w:t xml:space="preserve"> </w:t>
            </w:r>
            <w:r>
              <w:rPr>
                <w:color w:val="000000"/>
              </w:rPr>
              <w:t xml:space="preserve">a pour objectif de simuler la facilité des individus en situation académique ou professionnelle à réussir, en tenant compte de différents contextes culturels et sociaux. Par conséquent, cette activité a été soigneusement élaborée avec des instructions détaillées pour chaque défi, spécifiant les actions et les discours autorisés pour chaque personnage fictif. Ainsi, </w:t>
            </w:r>
            <w:r>
              <w:rPr>
                <w:b/>
                <w:color w:val="000000"/>
              </w:rPr>
              <w:t>le pointage final porte non pas sur les compétences personnelles des élèves</w:t>
            </w:r>
            <w:r>
              <w:rPr>
                <w:color w:val="000000"/>
              </w:rPr>
              <w:t xml:space="preserve">, </w:t>
            </w:r>
            <w:r>
              <w:rPr>
                <w:b/>
                <w:color w:val="000000"/>
              </w:rPr>
              <w:t>mais sur celles attribuées à leurs personnages.</w:t>
            </w:r>
          </w:p>
          <w:p w14:paraId="0DF32DD3" w14:textId="77777777" w:rsidR="002949A0" w:rsidRDefault="002949A0">
            <w:pPr>
              <w:pBdr>
                <w:top w:val="nil"/>
                <w:left w:val="nil"/>
                <w:bottom w:val="nil"/>
                <w:right w:val="nil"/>
                <w:between w:val="nil"/>
              </w:pBdr>
              <w:spacing w:after="0"/>
              <w:ind w:left="720"/>
              <w:jc w:val="center"/>
              <w:rPr>
                <w:b/>
                <w:color w:val="C00000"/>
              </w:rPr>
            </w:pPr>
          </w:p>
          <w:p w14:paraId="4531B9F7" w14:textId="77777777" w:rsidR="002949A0" w:rsidRDefault="00FD3544">
            <w:pPr>
              <w:pBdr>
                <w:top w:val="nil"/>
                <w:left w:val="nil"/>
                <w:bottom w:val="nil"/>
                <w:right w:val="nil"/>
                <w:between w:val="nil"/>
              </w:pBdr>
              <w:spacing w:after="0" w:line="240" w:lineRule="auto"/>
              <w:ind w:left="414"/>
              <w:jc w:val="both"/>
              <w:rPr>
                <w:b/>
                <w:color w:val="C00000"/>
              </w:rPr>
            </w:pPr>
            <w:r>
              <w:rPr>
                <w:b/>
                <w:color w:val="C00000"/>
              </w:rPr>
              <w:t xml:space="preserve">PRÉCISION ESSENTIELLE SUR LE POINT 2: </w:t>
            </w:r>
          </w:p>
          <w:p w14:paraId="1FB8090E" w14:textId="77777777" w:rsidR="002949A0" w:rsidRDefault="002949A0">
            <w:pPr>
              <w:pBdr>
                <w:top w:val="nil"/>
                <w:left w:val="nil"/>
                <w:bottom w:val="nil"/>
                <w:right w:val="nil"/>
                <w:between w:val="nil"/>
              </w:pBdr>
              <w:spacing w:after="0" w:line="240" w:lineRule="auto"/>
              <w:ind w:left="414"/>
              <w:jc w:val="both"/>
              <w:rPr>
                <w:b/>
                <w:color w:val="C00000"/>
              </w:rPr>
            </w:pPr>
          </w:p>
          <w:p w14:paraId="72402D22" w14:textId="77777777" w:rsidR="002949A0" w:rsidRDefault="00FD3544">
            <w:pPr>
              <w:pBdr>
                <w:top w:val="nil"/>
                <w:left w:val="nil"/>
                <w:bottom w:val="nil"/>
                <w:right w:val="nil"/>
                <w:between w:val="nil"/>
              </w:pBdr>
              <w:spacing w:after="0" w:line="240" w:lineRule="auto"/>
              <w:ind w:left="414"/>
              <w:jc w:val="both"/>
              <w:rPr>
                <w:b/>
                <w:color w:val="C00000"/>
              </w:rPr>
            </w:pPr>
            <w:r>
              <w:rPr>
                <w:color w:val="000000"/>
              </w:rPr>
              <w:t>Ce jeu ne prétend pas offrir une représentation parfaitement fidèle et nuancée de la réalité. Cette limitation sera explicitée par la personne enseignante aux élèves, après le jeu. Afin de permettre à la classe de formuler leurs propres constats et observations, aucune information préalable sur ces aspects ne sera fournie. Les personnages, bien que fictifs, ont été soigneusement conçus pour intégrer divers aspects du capital culturel tout en évitant la stigmatisation des groupes souvent marginalisés. L'obje</w:t>
            </w:r>
            <w:r>
              <w:rPr>
                <w:color w:val="000000"/>
              </w:rPr>
              <w:t xml:space="preserve">ctif principal de ce jeu est de présenter de manière concise la théorie sociologique de Pierre Bourdieu et de sensibiliser les élèves aux dynamiques sociales influencées par la culture. Par ailleurs, cette activité a été choisie dans le cadre de notre engagement envers des méthodes pédagogiques participatives, visant à favoriser une implication active des élèves et à se distancer des approches trop magistrales. </w:t>
            </w:r>
          </w:p>
          <w:p w14:paraId="23106365" w14:textId="77777777" w:rsidR="002949A0" w:rsidRDefault="002949A0">
            <w:pPr>
              <w:pBdr>
                <w:top w:val="nil"/>
                <w:left w:val="nil"/>
                <w:bottom w:val="nil"/>
                <w:right w:val="nil"/>
                <w:between w:val="nil"/>
              </w:pBdr>
              <w:spacing w:after="0"/>
              <w:ind w:left="720"/>
              <w:rPr>
                <w:color w:val="000000"/>
              </w:rPr>
            </w:pPr>
          </w:p>
          <w:p w14:paraId="46C1DEDA" w14:textId="77777777" w:rsidR="002949A0" w:rsidRDefault="00FD3544">
            <w:pPr>
              <w:numPr>
                <w:ilvl w:val="0"/>
                <w:numId w:val="3"/>
              </w:numPr>
              <w:pBdr>
                <w:top w:val="nil"/>
                <w:left w:val="nil"/>
                <w:bottom w:val="nil"/>
                <w:right w:val="nil"/>
                <w:between w:val="nil"/>
              </w:pBdr>
              <w:spacing w:line="240" w:lineRule="auto"/>
              <w:jc w:val="both"/>
              <w:rPr>
                <w:b/>
                <w:color w:val="000000"/>
              </w:rPr>
            </w:pPr>
            <w:r>
              <w:rPr>
                <w:color w:val="000000"/>
              </w:rPr>
              <w:t xml:space="preserve">À la conclusion de l’activité « Capital culturel » </w:t>
            </w:r>
            <w:r>
              <w:rPr>
                <w:b/>
                <w:color w:val="2F5496"/>
              </w:rPr>
              <w:t>(Annexe D)</w:t>
            </w:r>
            <w:r>
              <w:rPr>
                <w:color w:val="000000"/>
              </w:rPr>
              <w:t>, les limites de la théorie sociologique présentée et de notre interprétation, seront mises en avant. Vous pouvez cependant souligner l’objectif du jeu : mieux comprendre la culture dominante et la théorie sociologique étudiée, tout en insistant sur la complexité des êtres humains et l'impossibilité de les réduire à des catégories simplistes !</w:t>
            </w:r>
          </w:p>
        </w:tc>
      </w:tr>
      <w:tr w:rsidR="002949A0" w14:paraId="6512B22E" w14:textId="77777777">
        <w:trPr>
          <w:trHeight w:val="380"/>
        </w:trPr>
        <w:tc>
          <w:tcPr>
            <w:tcW w:w="10348" w:type="dxa"/>
            <w:gridSpan w:val="4"/>
            <w:shd w:val="clear" w:color="auto" w:fill="D9D9D9"/>
          </w:tcPr>
          <w:p w14:paraId="0B7600D6" w14:textId="77777777" w:rsidR="002949A0" w:rsidRDefault="00FD3544">
            <w:pPr>
              <w:widowControl w:val="0"/>
              <w:pBdr>
                <w:top w:val="nil"/>
                <w:left w:val="nil"/>
                <w:bottom w:val="nil"/>
                <w:right w:val="nil"/>
                <w:between w:val="nil"/>
              </w:pBdr>
              <w:spacing w:line="240" w:lineRule="auto"/>
              <w:rPr>
                <w:b/>
              </w:rPr>
            </w:pPr>
            <w:r>
              <w:rPr>
                <w:b/>
              </w:rPr>
              <w:lastRenderedPageBreak/>
              <w:t>Matériel requis et organisation physique :</w:t>
            </w:r>
          </w:p>
          <w:p w14:paraId="490AC54B" w14:textId="19A2F09D" w:rsidR="002949A0" w:rsidRDefault="00AF7B14">
            <w:pPr>
              <w:widowControl w:val="0"/>
              <w:numPr>
                <w:ilvl w:val="0"/>
                <w:numId w:val="2"/>
              </w:numPr>
              <w:pBdr>
                <w:top w:val="nil"/>
                <w:left w:val="nil"/>
                <w:bottom w:val="nil"/>
                <w:right w:val="nil"/>
                <w:between w:val="nil"/>
              </w:pBdr>
              <w:spacing w:after="0" w:line="240" w:lineRule="auto"/>
              <w:rPr>
                <w:color w:val="000000"/>
              </w:rPr>
            </w:pPr>
            <w:r>
              <w:rPr>
                <w:color w:val="000000"/>
              </w:rPr>
              <w:t xml:space="preserve">Tableau numérique </w:t>
            </w:r>
            <w:r w:rsidR="00E1116C">
              <w:rPr>
                <w:color w:val="000000"/>
              </w:rPr>
              <w:t>interactif (</w:t>
            </w:r>
            <w:r w:rsidR="00FD3544">
              <w:rPr>
                <w:color w:val="000000"/>
              </w:rPr>
              <w:t>TNI</w:t>
            </w:r>
            <w:r w:rsidR="00E1116C">
              <w:rPr>
                <w:color w:val="000000"/>
              </w:rPr>
              <w:t xml:space="preserve">) </w:t>
            </w:r>
            <w:r w:rsidR="00FD3544">
              <w:rPr>
                <w:color w:val="000000"/>
              </w:rPr>
              <w:t xml:space="preserve">si vous voulez utiliser le </w:t>
            </w:r>
            <w:proofErr w:type="spellStart"/>
            <w:r w:rsidR="00FD3544">
              <w:rPr>
                <w:color w:val="000000"/>
              </w:rPr>
              <w:t>Genially</w:t>
            </w:r>
            <w:proofErr w:type="spellEnd"/>
            <w:r w:rsidR="00FD3544">
              <w:rPr>
                <w:color w:val="000000"/>
              </w:rPr>
              <w:t xml:space="preserve"> proposé</w:t>
            </w:r>
            <w:r w:rsidR="00FD3544">
              <w:rPr>
                <w:color w:val="000000"/>
              </w:rPr>
              <w:t xml:space="preserve"> : </w:t>
            </w:r>
            <w:hyperlink r:id="rId9">
              <w:r w:rsidR="00FD3544">
                <w:rPr>
                  <w:color w:val="0563C1"/>
                  <w:u w:val="single"/>
                </w:rPr>
                <w:t>Cultures et inégalités sous la loupe ! (genially.com)</w:t>
              </w:r>
            </w:hyperlink>
            <w:r w:rsidR="00FD3544">
              <w:rPr>
                <w:color w:val="000000"/>
              </w:rPr>
              <w:t xml:space="preserve"> </w:t>
            </w:r>
            <w:r w:rsidR="00FD3544">
              <w:rPr>
                <w:b/>
                <w:i/>
                <w:color w:val="FF0000"/>
                <w:sz w:val="20"/>
                <w:szCs w:val="20"/>
              </w:rPr>
              <w:t xml:space="preserve">Important : </w:t>
            </w:r>
            <w:r w:rsidR="00FD3544">
              <w:rPr>
                <w:i/>
                <w:color w:val="FF0000"/>
                <w:sz w:val="20"/>
                <w:szCs w:val="20"/>
              </w:rPr>
              <w:t xml:space="preserve">Vous devez cliquer sur l’icône « présenter », en haut à droite du </w:t>
            </w:r>
            <w:proofErr w:type="spellStart"/>
            <w:r w:rsidR="00FD3544">
              <w:rPr>
                <w:i/>
                <w:color w:val="FF0000"/>
                <w:sz w:val="20"/>
                <w:szCs w:val="20"/>
              </w:rPr>
              <w:t>Genially</w:t>
            </w:r>
            <w:proofErr w:type="spellEnd"/>
            <w:r w:rsidR="00FD3544">
              <w:rPr>
                <w:i/>
                <w:color w:val="FF0000"/>
                <w:sz w:val="20"/>
                <w:szCs w:val="20"/>
              </w:rPr>
              <w:t>, pour accéder au mode présentation et pouvoir cliquer sur les liens présentés dans celui-ci.</w:t>
            </w:r>
          </w:p>
          <w:p w14:paraId="3D3FA6E3" w14:textId="77777777" w:rsidR="002949A0" w:rsidRDefault="002949A0">
            <w:pPr>
              <w:widowControl w:val="0"/>
              <w:pBdr>
                <w:top w:val="nil"/>
                <w:left w:val="nil"/>
                <w:bottom w:val="nil"/>
                <w:right w:val="nil"/>
                <w:between w:val="nil"/>
              </w:pBdr>
              <w:spacing w:after="0" w:line="240" w:lineRule="auto"/>
              <w:ind w:left="416"/>
              <w:rPr>
                <w:color w:val="000000"/>
                <w:highlight w:val="yellow"/>
              </w:rPr>
            </w:pPr>
          </w:p>
          <w:p w14:paraId="4DF227BC" w14:textId="77777777" w:rsidR="002949A0" w:rsidRDefault="00FD3544">
            <w:pPr>
              <w:widowControl w:val="0"/>
              <w:numPr>
                <w:ilvl w:val="0"/>
                <w:numId w:val="2"/>
              </w:numPr>
              <w:pBdr>
                <w:top w:val="nil"/>
                <w:left w:val="nil"/>
                <w:bottom w:val="nil"/>
                <w:right w:val="nil"/>
                <w:between w:val="nil"/>
              </w:pBdr>
              <w:spacing w:after="0" w:line="240" w:lineRule="auto"/>
              <w:rPr>
                <w:color w:val="000000"/>
              </w:rPr>
            </w:pPr>
            <w:r>
              <w:rPr>
                <w:color w:val="000000"/>
              </w:rPr>
              <w:t>Les différentes activités annexées, dont certaines à imprimer</w:t>
            </w:r>
          </w:p>
          <w:p w14:paraId="5DEB25E5" w14:textId="77777777" w:rsidR="002949A0" w:rsidRDefault="002949A0">
            <w:pPr>
              <w:pBdr>
                <w:top w:val="nil"/>
                <w:left w:val="nil"/>
                <w:bottom w:val="nil"/>
                <w:right w:val="nil"/>
                <w:between w:val="nil"/>
              </w:pBdr>
              <w:spacing w:after="0"/>
              <w:ind w:left="720"/>
              <w:rPr>
                <w:color w:val="000000"/>
              </w:rPr>
            </w:pPr>
          </w:p>
          <w:p w14:paraId="2119B0CA" w14:textId="77777777" w:rsidR="002949A0" w:rsidRDefault="00FD3544">
            <w:pPr>
              <w:widowControl w:val="0"/>
              <w:numPr>
                <w:ilvl w:val="0"/>
                <w:numId w:val="2"/>
              </w:numPr>
              <w:pBdr>
                <w:top w:val="nil"/>
                <w:left w:val="nil"/>
                <w:bottom w:val="nil"/>
                <w:right w:val="nil"/>
                <w:between w:val="nil"/>
              </w:pBdr>
              <w:spacing w:after="0" w:line="240" w:lineRule="auto"/>
              <w:rPr>
                <w:color w:val="000000"/>
              </w:rPr>
            </w:pPr>
            <w:r>
              <w:rPr>
                <w:color w:val="000000"/>
              </w:rPr>
              <w:t>Des ciseaux</w:t>
            </w:r>
          </w:p>
          <w:p w14:paraId="719FECC1" w14:textId="77777777" w:rsidR="002949A0" w:rsidRDefault="002949A0">
            <w:pPr>
              <w:pBdr>
                <w:top w:val="nil"/>
                <w:left w:val="nil"/>
                <w:bottom w:val="nil"/>
                <w:right w:val="nil"/>
                <w:between w:val="nil"/>
              </w:pBdr>
              <w:spacing w:after="0"/>
              <w:ind w:left="720"/>
              <w:rPr>
                <w:color w:val="000000"/>
              </w:rPr>
            </w:pPr>
          </w:p>
          <w:p w14:paraId="1F4A8ADF" w14:textId="5F6D8FA5" w:rsidR="002949A0" w:rsidRDefault="00FD3544">
            <w:pPr>
              <w:widowControl w:val="0"/>
              <w:numPr>
                <w:ilvl w:val="0"/>
                <w:numId w:val="2"/>
              </w:numPr>
              <w:pBdr>
                <w:top w:val="nil"/>
                <w:left w:val="nil"/>
                <w:bottom w:val="nil"/>
                <w:right w:val="nil"/>
                <w:between w:val="nil"/>
              </w:pBdr>
              <w:spacing w:after="0" w:line="240" w:lineRule="auto"/>
              <w:rPr>
                <w:color w:val="000000"/>
              </w:rPr>
            </w:pPr>
            <w:r>
              <w:rPr>
                <w:color w:val="000000"/>
              </w:rPr>
              <w:t>Cellulaire pour les élèves (</w:t>
            </w:r>
            <w:r w:rsidR="00E1116C">
              <w:rPr>
                <w:color w:val="000000"/>
              </w:rPr>
              <w:t xml:space="preserve">pour le </w:t>
            </w:r>
            <w:proofErr w:type="spellStart"/>
            <w:r>
              <w:rPr>
                <w:color w:val="000000"/>
              </w:rPr>
              <w:t>Wooclap</w:t>
            </w:r>
            <w:proofErr w:type="spellEnd"/>
            <w:r>
              <w:rPr>
                <w:color w:val="000000"/>
              </w:rPr>
              <w:t xml:space="preserve"> et </w:t>
            </w:r>
            <w:r w:rsidR="00E1116C">
              <w:rPr>
                <w:color w:val="000000"/>
              </w:rPr>
              <w:t xml:space="preserve">le </w:t>
            </w:r>
            <w:proofErr w:type="spellStart"/>
            <w:r>
              <w:rPr>
                <w:color w:val="000000"/>
              </w:rPr>
              <w:t>Kahoot</w:t>
            </w:r>
            <w:proofErr w:type="spellEnd"/>
            <w:r>
              <w:rPr>
                <w:color w:val="000000"/>
              </w:rPr>
              <w:t>!)</w:t>
            </w:r>
          </w:p>
          <w:p w14:paraId="09BE5014" w14:textId="77777777" w:rsidR="002949A0" w:rsidRDefault="002949A0">
            <w:pPr>
              <w:widowControl w:val="0"/>
              <w:pBdr>
                <w:top w:val="nil"/>
                <w:left w:val="nil"/>
                <w:bottom w:val="nil"/>
                <w:right w:val="nil"/>
                <w:between w:val="nil"/>
              </w:pBdr>
              <w:spacing w:line="240" w:lineRule="auto"/>
              <w:rPr>
                <w:b/>
              </w:rPr>
            </w:pPr>
          </w:p>
        </w:tc>
      </w:tr>
      <w:tr w:rsidR="002949A0" w14:paraId="7EE5D143" w14:textId="77777777">
        <w:trPr>
          <w:trHeight w:val="107"/>
        </w:trPr>
        <w:tc>
          <w:tcPr>
            <w:tcW w:w="10348" w:type="dxa"/>
            <w:gridSpan w:val="4"/>
            <w:shd w:val="clear" w:color="auto" w:fill="000000"/>
            <w:vAlign w:val="center"/>
          </w:tcPr>
          <w:p w14:paraId="194A8147" w14:textId="77777777" w:rsidR="002949A0" w:rsidRDefault="002949A0">
            <w:pPr>
              <w:jc w:val="center"/>
              <w:rPr>
                <w:b/>
              </w:rPr>
            </w:pPr>
          </w:p>
          <w:p w14:paraId="5A4E5037" w14:textId="77777777" w:rsidR="002949A0" w:rsidRDefault="00FD3544">
            <w:pPr>
              <w:jc w:val="center"/>
              <w:rPr>
                <w:b/>
              </w:rPr>
            </w:pPr>
            <w:r>
              <w:rPr>
                <w:b/>
              </w:rPr>
              <w:t>DOMAINES GÉNÉRAUX DE FORMATION</w:t>
            </w:r>
          </w:p>
          <w:p w14:paraId="09683C81" w14:textId="77777777" w:rsidR="002949A0" w:rsidRDefault="002949A0">
            <w:pPr>
              <w:jc w:val="center"/>
              <w:rPr>
                <w:b/>
              </w:rPr>
            </w:pPr>
          </w:p>
        </w:tc>
      </w:tr>
      <w:tr w:rsidR="002949A0" w14:paraId="751F06A9" w14:textId="77777777">
        <w:trPr>
          <w:trHeight w:val="107"/>
        </w:trPr>
        <w:tc>
          <w:tcPr>
            <w:tcW w:w="5104" w:type="dxa"/>
            <w:shd w:val="clear" w:color="auto" w:fill="BFBFBF"/>
            <w:vAlign w:val="center"/>
          </w:tcPr>
          <w:p w14:paraId="519A0494" w14:textId="77777777" w:rsidR="002949A0" w:rsidRDefault="002949A0">
            <w:pPr>
              <w:spacing w:after="0" w:line="240" w:lineRule="auto"/>
              <w:jc w:val="center"/>
            </w:pPr>
          </w:p>
          <w:p w14:paraId="1CAE8ABE" w14:textId="77777777" w:rsidR="002949A0" w:rsidRDefault="00FD3544">
            <w:pPr>
              <w:jc w:val="center"/>
            </w:pPr>
            <w:r>
              <w:t>Domaines généraux de formation </w:t>
            </w:r>
          </w:p>
        </w:tc>
        <w:tc>
          <w:tcPr>
            <w:tcW w:w="5244" w:type="dxa"/>
            <w:gridSpan w:val="3"/>
            <w:shd w:val="clear" w:color="auto" w:fill="BFBFBF"/>
            <w:vAlign w:val="center"/>
          </w:tcPr>
          <w:p w14:paraId="6F0D60DB" w14:textId="77777777" w:rsidR="002949A0" w:rsidRDefault="002949A0">
            <w:pPr>
              <w:spacing w:after="0" w:line="240" w:lineRule="auto"/>
              <w:jc w:val="center"/>
            </w:pPr>
          </w:p>
          <w:p w14:paraId="6F49967C" w14:textId="77777777" w:rsidR="002949A0" w:rsidRDefault="00FD3544">
            <w:pPr>
              <w:jc w:val="center"/>
            </w:pPr>
            <w:r>
              <w:t>Axes de développement </w:t>
            </w:r>
          </w:p>
        </w:tc>
      </w:tr>
      <w:tr w:rsidR="002949A0" w14:paraId="7437AA1D" w14:textId="77777777">
        <w:trPr>
          <w:trHeight w:val="838"/>
        </w:trPr>
        <w:tc>
          <w:tcPr>
            <w:tcW w:w="5104" w:type="dxa"/>
            <w:shd w:val="clear" w:color="auto" w:fill="F2F2F2"/>
          </w:tcPr>
          <w:p w14:paraId="424F65B9" w14:textId="77777777" w:rsidR="002949A0" w:rsidRDefault="002949A0">
            <w:pPr>
              <w:spacing w:after="0" w:line="240" w:lineRule="auto"/>
            </w:pPr>
          </w:p>
          <w:p w14:paraId="7AFE4C6F" w14:textId="77777777" w:rsidR="002949A0" w:rsidRDefault="00FD3544">
            <w:pPr>
              <w:numPr>
                <w:ilvl w:val="0"/>
                <w:numId w:val="2"/>
              </w:numPr>
              <w:pBdr>
                <w:top w:val="nil"/>
                <w:left w:val="nil"/>
                <w:bottom w:val="nil"/>
                <w:right w:val="nil"/>
                <w:between w:val="nil"/>
              </w:pBdr>
              <w:spacing w:after="0" w:line="240" w:lineRule="auto"/>
            </w:pPr>
            <w:r>
              <w:rPr>
                <w:color w:val="000000"/>
              </w:rPr>
              <w:t xml:space="preserve">Vivre-ensemble et citoyenneté </w:t>
            </w:r>
          </w:p>
        </w:tc>
        <w:tc>
          <w:tcPr>
            <w:tcW w:w="5244" w:type="dxa"/>
            <w:gridSpan w:val="3"/>
            <w:shd w:val="clear" w:color="auto" w:fill="F2F2F2"/>
          </w:tcPr>
          <w:p w14:paraId="08C7438D" w14:textId="77777777" w:rsidR="002949A0" w:rsidRDefault="002949A0">
            <w:pPr>
              <w:spacing w:after="0" w:line="240" w:lineRule="auto"/>
              <w:ind w:left="56"/>
              <w:rPr>
                <w:b/>
                <w:u w:val="single"/>
              </w:rPr>
            </w:pPr>
          </w:p>
          <w:p w14:paraId="5F772A33" w14:textId="77777777" w:rsidR="002949A0" w:rsidRDefault="00FD3544">
            <w:pPr>
              <w:numPr>
                <w:ilvl w:val="0"/>
                <w:numId w:val="2"/>
              </w:numPr>
              <w:pBdr>
                <w:top w:val="nil"/>
                <w:left w:val="nil"/>
                <w:bottom w:val="nil"/>
                <w:right w:val="nil"/>
                <w:between w:val="nil"/>
              </w:pBdr>
              <w:spacing w:after="0"/>
              <w:rPr>
                <w:b/>
                <w:color w:val="000000"/>
                <w:u w:val="single"/>
              </w:rPr>
            </w:pPr>
            <w:r>
              <w:rPr>
                <w:color w:val="000000"/>
              </w:rPr>
              <w:t xml:space="preserve">Engagement, coopération et solidarité </w:t>
            </w:r>
          </w:p>
          <w:p w14:paraId="799AC648" w14:textId="77777777" w:rsidR="002949A0" w:rsidRDefault="00FD3544">
            <w:pPr>
              <w:numPr>
                <w:ilvl w:val="0"/>
                <w:numId w:val="2"/>
              </w:numPr>
              <w:pBdr>
                <w:top w:val="nil"/>
                <w:left w:val="nil"/>
                <w:bottom w:val="nil"/>
                <w:right w:val="nil"/>
                <w:between w:val="nil"/>
              </w:pBdr>
              <w:spacing w:after="0" w:line="240" w:lineRule="auto"/>
              <w:rPr>
                <w:b/>
                <w:color w:val="000000"/>
                <w:u w:val="single"/>
              </w:rPr>
            </w:pPr>
            <w:r>
              <w:rPr>
                <w:color w:val="000000"/>
              </w:rPr>
              <w:t xml:space="preserve">Appropriation de la culture de la paix </w:t>
            </w:r>
          </w:p>
          <w:p w14:paraId="41B5BD9B" w14:textId="77777777" w:rsidR="002949A0" w:rsidRDefault="002949A0">
            <w:pPr>
              <w:pBdr>
                <w:top w:val="nil"/>
                <w:left w:val="nil"/>
                <w:bottom w:val="nil"/>
                <w:right w:val="nil"/>
                <w:between w:val="nil"/>
              </w:pBdr>
              <w:spacing w:after="0" w:line="240" w:lineRule="auto"/>
              <w:ind w:left="416"/>
              <w:rPr>
                <w:b/>
                <w:color w:val="000000"/>
                <w:u w:val="single"/>
              </w:rPr>
            </w:pPr>
          </w:p>
        </w:tc>
      </w:tr>
      <w:tr w:rsidR="002949A0" w14:paraId="231A5500" w14:textId="77777777">
        <w:trPr>
          <w:trHeight w:val="107"/>
        </w:trPr>
        <w:tc>
          <w:tcPr>
            <w:tcW w:w="10348" w:type="dxa"/>
            <w:gridSpan w:val="4"/>
            <w:shd w:val="clear" w:color="auto" w:fill="000000"/>
            <w:vAlign w:val="center"/>
          </w:tcPr>
          <w:p w14:paraId="16860D54" w14:textId="77777777" w:rsidR="002949A0" w:rsidRDefault="002949A0">
            <w:pPr>
              <w:spacing w:after="0" w:line="240" w:lineRule="auto"/>
              <w:jc w:val="center"/>
              <w:rPr>
                <w:b/>
              </w:rPr>
            </w:pPr>
          </w:p>
          <w:p w14:paraId="2FBA0D7C" w14:textId="77777777" w:rsidR="002949A0" w:rsidRDefault="00FD3544">
            <w:pPr>
              <w:spacing w:after="0" w:line="240" w:lineRule="auto"/>
              <w:jc w:val="center"/>
              <w:rPr>
                <w:b/>
              </w:rPr>
            </w:pPr>
            <w:r>
              <w:rPr>
                <w:b/>
              </w:rPr>
              <w:t>COMPÉTENCES TRANSVERSALES</w:t>
            </w:r>
          </w:p>
          <w:p w14:paraId="0FA409D8" w14:textId="77777777" w:rsidR="002949A0" w:rsidRDefault="002949A0">
            <w:pPr>
              <w:spacing w:after="0" w:line="240" w:lineRule="auto"/>
              <w:jc w:val="center"/>
              <w:rPr>
                <w:b/>
              </w:rPr>
            </w:pPr>
          </w:p>
        </w:tc>
      </w:tr>
      <w:tr w:rsidR="002949A0" w14:paraId="6384C2A7" w14:textId="77777777">
        <w:trPr>
          <w:trHeight w:val="282"/>
        </w:trPr>
        <w:tc>
          <w:tcPr>
            <w:tcW w:w="10348" w:type="dxa"/>
            <w:gridSpan w:val="4"/>
            <w:shd w:val="clear" w:color="auto" w:fill="F2F2F2"/>
          </w:tcPr>
          <w:p w14:paraId="443B96F3" w14:textId="77777777" w:rsidR="002949A0" w:rsidRDefault="00FD3544">
            <w:pPr>
              <w:shd w:val="clear" w:color="auto" w:fill="D9D9D9"/>
              <w:rPr>
                <w:b/>
                <w:color w:val="0070C0"/>
              </w:rPr>
            </w:pPr>
            <w:r>
              <w:rPr>
                <w:b/>
                <w:color w:val="C00000"/>
              </w:rPr>
              <w:t>Cochez celle(s) qui fera(ont) l’objet d’un apprentissage explicite</w:t>
            </w:r>
          </w:p>
          <w:p w14:paraId="3D1AB9BA" w14:textId="77777777" w:rsidR="002949A0" w:rsidRDefault="00FD3544">
            <w:pPr>
              <w:pBdr>
                <w:top w:val="nil"/>
                <w:left w:val="nil"/>
                <w:bottom w:val="nil"/>
                <w:right w:val="nil"/>
                <w:between w:val="nil"/>
              </w:pBdr>
              <w:shd w:val="clear" w:color="auto" w:fill="D9D9D9"/>
              <w:spacing w:after="0"/>
              <w:rPr>
                <w:color w:val="000000"/>
              </w:rPr>
            </w:pPr>
            <w:r>
              <w:rPr>
                <w:color w:val="000000"/>
              </w:rPr>
              <w:t xml:space="preserve">□ Exploiter l’information </w:t>
            </w:r>
          </w:p>
          <w:p w14:paraId="4553D90E" w14:textId="77777777" w:rsidR="002949A0" w:rsidRDefault="00FD3544">
            <w:pPr>
              <w:pBdr>
                <w:top w:val="nil"/>
                <w:left w:val="nil"/>
                <w:bottom w:val="nil"/>
                <w:right w:val="nil"/>
                <w:between w:val="nil"/>
              </w:pBdr>
              <w:shd w:val="clear" w:color="auto" w:fill="D9D9D9"/>
              <w:spacing w:after="0"/>
              <w:rPr>
                <w:color w:val="000000"/>
              </w:rPr>
            </w:pPr>
            <w:r>
              <w:rPr>
                <w:color w:val="000000"/>
              </w:rPr>
              <w:t xml:space="preserve">□ Résoudre des problèmes </w:t>
            </w:r>
          </w:p>
          <w:p w14:paraId="3CBAC8AD" w14:textId="77777777" w:rsidR="002949A0" w:rsidRDefault="00FD3544">
            <w:pPr>
              <w:pBdr>
                <w:top w:val="nil"/>
                <w:left w:val="nil"/>
                <w:bottom w:val="nil"/>
                <w:right w:val="nil"/>
                <w:between w:val="nil"/>
              </w:pBdr>
              <w:shd w:val="clear" w:color="auto" w:fill="D9D9D9"/>
              <w:spacing w:after="0"/>
              <w:rPr>
                <w:color w:val="000000"/>
              </w:rPr>
            </w:pPr>
            <w:r>
              <w:rPr>
                <w:color w:val="000000"/>
              </w:rPr>
              <w:t>🗹</w:t>
            </w:r>
            <w:r>
              <w:rPr>
                <w:color w:val="000000"/>
              </w:rPr>
              <w:t xml:space="preserve"> Exercer son jugement critique </w:t>
            </w:r>
          </w:p>
          <w:p w14:paraId="64B15F79" w14:textId="77777777" w:rsidR="002949A0" w:rsidRDefault="00FD3544">
            <w:pPr>
              <w:pBdr>
                <w:top w:val="nil"/>
                <w:left w:val="nil"/>
                <w:bottom w:val="nil"/>
                <w:right w:val="nil"/>
                <w:between w:val="nil"/>
              </w:pBdr>
              <w:shd w:val="clear" w:color="auto" w:fill="D9D9D9"/>
              <w:spacing w:after="0"/>
              <w:rPr>
                <w:color w:val="000000"/>
              </w:rPr>
            </w:pPr>
            <w:r>
              <w:rPr>
                <w:color w:val="000000"/>
              </w:rPr>
              <w:t>□ Mettre en œuvre sa pensée créatrice</w:t>
            </w:r>
          </w:p>
          <w:p w14:paraId="03A8A1DE" w14:textId="77777777" w:rsidR="002949A0" w:rsidRDefault="00FD3544">
            <w:pPr>
              <w:pBdr>
                <w:top w:val="nil"/>
                <w:left w:val="nil"/>
                <w:bottom w:val="nil"/>
                <w:right w:val="nil"/>
                <w:between w:val="nil"/>
              </w:pBdr>
              <w:shd w:val="clear" w:color="auto" w:fill="D9D9D9"/>
              <w:spacing w:after="0"/>
              <w:rPr>
                <w:color w:val="000000"/>
              </w:rPr>
            </w:pPr>
            <w:r>
              <w:rPr>
                <w:color w:val="000000"/>
              </w:rPr>
              <w:t>□ Se donner des méthodes de travail efficace</w:t>
            </w:r>
          </w:p>
          <w:p w14:paraId="77566D41" w14:textId="77777777" w:rsidR="002949A0" w:rsidRDefault="00FD3544">
            <w:pPr>
              <w:pBdr>
                <w:top w:val="nil"/>
                <w:left w:val="nil"/>
                <w:bottom w:val="nil"/>
                <w:right w:val="nil"/>
                <w:between w:val="nil"/>
              </w:pBdr>
              <w:shd w:val="clear" w:color="auto" w:fill="D9D9D9"/>
              <w:spacing w:after="0"/>
              <w:rPr>
                <w:color w:val="000000"/>
              </w:rPr>
            </w:pPr>
            <w:r>
              <w:rPr>
                <w:color w:val="000000"/>
              </w:rPr>
              <w:t>□ Exploiter les technologies de l’information et de la communication (TIC)</w:t>
            </w:r>
          </w:p>
          <w:p w14:paraId="49AA4BE0" w14:textId="77777777" w:rsidR="002949A0" w:rsidRDefault="00FD3544">
            <w:pPr>
              <w:pBdr>
                <w:top w:val="nil"/>
                <w:left w:val="nil"/>
                <w:bottom w:val="nil"/>
                <w:right w:val="nil"/>
                <w:between w:val="nil"/>
              </w:pBdr>
              <w:shd w:val="clear" w:color="auto" w:fill="D9D9D9"/>
              <w:spacing w:after="0"/>
              <w:rPr>
                <w:color w:val="000000"/>
              </w:rPr>
            </w:pPr>
            <w:r>
              <w:rPr>
                <w:color w:val="000000"/>
              </w:rPr>
              <w:t xml:space="preserve">□ Actualiser son potentiel </w:t>
            </w:r>
          </w:p>
          <w:p w14:paraId="252DB48E" w14:textId="77777777" w:rsidR="002949A0" w:rsidRDefault="00FD3544">
            <w:pPr>
              <w:pBdr>
                <w:top w:val="nil"/>
                <w:left w:val="nil"/>
                <w:bottom w:val="nil"/>
                <w:right w:val="nil"/>
                <w:between w:val="nil"/>
              </w:pBdr>
              <w:shd w:val="clear" w:color="auto" w:fill="D9D9D9"/>
              <w:spacing w:after="0"/>
              <w:rPr>
                <w:color w:val="000000"/>
              </w:rPr>
            </w:pPr>
            <w:r>
              <w:rPr>
                <w:color w:val="000000"/>
              </w:rPr>
              <w:t>🗹</w:t>
            </w:r>
            <w:r>
              <w:rPr>
                <w:color w:val="000000"/>
              </w:rPr>
              <w:t xml:space="preserve"> Coopérer </w:t>
            </w:r>
          </w:p>
          <w:p w14:paraId="65747FCE" w14:textId="77777777" w:rsidR="002949A0" w:rsidRDefault="00FD3544">
            <w:pPr>
              <w:pBdr>
                <w:top w:val="nil"/>
                <w:left w:val="nil"/>
                <w:bottom w:val="nil"/>
                <w:right w:val="nil"/>
                <w:between w:val="nil"/>
              </w:pBdr>
              <w:shd w:val="clear" w:color="auto" w:fill="D9D9D9"/>
              <w:spacing w:after="0"/>
            </w:pPr>
            <w:r>
              <w:rPr>
                <w:color w:val="000000"/>
              </w:rPr>
              <w:t>🗹</w:t>
            </w:r>
            <w:r>
              <w:rPr>
                <w:color w:val="000000"/>
              </w:rPr>
              <w:t xml:space="preserve"> Communiquer de façon appropriée</w:t>
            </w:r>
          </w:p>
          <w:p w14:paraId="5AD5B923" w14:textId="77777777" w:rsidR="002949A0" w:rsidRDefault="00FD3544">
            <w:pPr>
              <w:pBdr>
                <w:top w:val="nil"/>
                <w:left w:val="nil"/>
                <w:bottom w:val="nil"/>
                <w:right w:val="nil"/>
                <w:between w:val="nil"/>
              </w:pBdr>
              <w:shd w:val="clear" w:color="auto" w:fill="D9D9D9"/>
              <w:rPr>
                <w:color w:val="000000"/>
              </w:rPr>
            </w:pPr>
            <w:r>
              <w:rPr>
                <w:color w:val="000000"/>
              </w:rPr>
              <w:t xml:space="preserve"> </w:t>
            </w:r>
          </w:p>
          <w:p w14:paraId="4157E1F8" w14:textId="77777777" w:rsidR="002E1FB7" w:rsidRDefault="002E1FB7">
            <w:pPr>
              <w:pBdr>
                <w:top w:val="nil"/>
                <w:left w:val="nil"/>
                <w:bottom w:val="nil"/>
                <w:right w:val="nil"/>
                <w:between w:val="nil"/>
              </w:pBdr>
              <w:shd w:val="clear" w:color="auto" w:fill="D9D9D9"/>
            </w:pPr>
          </w:p>
        </w:tc>
      </w:tr>
      <w:tr w:rsidR="002949A0" w14:paraId="0124FF04" w14:textId="77777777">
        <w:trPr>
          <w:trHeight w:val="999"/>
        </w:trPr>
        <w:tc>
          <w:tcPr>
            <w:tcW w:w="10348" w:type="dxa"/>
            <w:gridSpan w:val="4"/>
            <w:tcBorders>
              <w:top w:val="single" w:sz="4" w:space="0" w:color="C9C9C9"/>
              <w:left w:val="single" w:sz="4" w:space="0" w:color="C9C9C9"/>
              <w:bottom w:val="single" w:sz="4" w:space="0" w:color="C9C9C9"/>
              <w:right w:val="single" w:sz="4" w:space="0" w:color="C9C9C9"/>
            </w:tcBorders>
            <w:shd w:val="clear" w:color="auto" w:fill="000000"/>
          </w:tcPr>
          <w:p w14:paraId="772C7F85" w14:textId="77777777" w:rsidR="002949A0" w:rsidRDefault="00FD3544">
            <w:pPr>
              <w:jc w:val="center"/>
              <w:rPr>
                <w:b/>
              </w:rPr>
            </w:pPr>
            <w:r>
              <w:rPr>
                <w:b/>
              </w:rPr>
              <w:lastRenderedPageBreak/>
              <w:t>COMPÉTENCES DISCIPLINAIRES</w:t>
            </w:r>
            <w:r>
              <w:br/>
            </w:r>
            <w:r>
              <w:rPr>
                <w:b/>
              </w:rPr>
              <w:t>Éléments ciblés dans la progression des apprentissages (PDA)</w:t>
            </w:r>
          </w:p>
        </w:tc>
      </w:tr>
      <w:tr w:rsidR="002949A0" w14:paraId="57D1CA8E" w14:textId="77777777">
        <w:trPr>
          <w:trHeight w:val="60"/>
        </w:trPr>
        <w:tc>
          <w:tcPr>
            <w:tcW w:w="5245" w:type="dxa"/>
            <w:gridSpan w:val="2"/>
            <w:shd w:val="clear" w:color="auto" w:fill="990000"/>
            <w:vAlign w:val="center"/>
          </w:tcPr>
          <w:p w14:paraId="0357ECF0" w14:textId="77777777" w:rsidR="002949A0" w:rsidRDefault="002949A0">
            <w:pPr>
              <w:jc w:val="center"/>
              <w:rPr>
                <w:b/>
              </w:rPr>
            </w:pPr>
          </w:p>
          <w:p w14:paraId="5F29544E" w14:textId="77777777" w:rsidR="002949A0" w:rsidRDefault="00FD3544">
            <w:pPr>
              <w:jc w:val="center"/>
              <w:rPr>
                <w:b/>
              </w:rPr>
            </w:pPr>
            <w:r>
              <w:rPr>
                <w:b/>
              </w:rPr>
              <w:t>Étudier des réalités culturelles (C1)</w:t>
            </w:r>
          </w:p>
          <w:p w14:paraId="4F94249C" w14:textId="77777777" w:rsidR="002949A0" w:rsidRDefault="00FD3544">
            <w:pPr>
              <w:jc w:val="center"/>
              <w:rPr>
                <w:b/>
              </w:rPr>
            </w:pPr>
            <w:r>
              <w:t xml:space="preserve">Évaluée à l’aide de la grille de correction (Annexe H) </w:t>
            </w:r>
          </w:p>
          <w:p w14:paraId="014D6152" w14:textId="77777777" w:rsidR="002949A0" w:rsidRDefault="002949A0">
            <w:pPr>
              <w:rPr>
                <w:b/>
              </w:rPr>
            </w:pPr>
          </w:p>
        </w:tc>
        <w:tc>
          <w:tcPr>
            <w:tcW w:w="5103" w:type="dxa"/>
            <w:gridSpan w:val="2"/>
            <w:shd w:val="clear" w:color="auto" w:fill="44546A"/>
            <w:vAlign w:val="center"/>
          </w:tcPr>
          <w:p w14:paraId="109B48CE" w14:textId="77777777" w:rsidR="002949A0" w:rsidRDefault="00FD3544">
            <w:pPr>
              <w:jc w:val="center"/>
              <w:rPr>
                <w:b/>
                <w:color w:val="FFFFFF"/>
              </w:rPr>
            </w:pPr>
            <w:r>
              <w:rPr>
                <w:b/>
                <w:color w:val="FFFFFF"/>
              </w:rPr>
              <w:t>Réfléchir sur des questions éthiques (C2)</w:t>
            </w:r>
          </w:p>
          <w:p w14:paraId="3044BB4A" w14:textId="77777777" w:rsidR="002949A0" w:rsidRDefault="00FD3544">
            <w:pPr>
              <w:jc w:val="center"/>
              <w:rPr>
                <w:b/>
              </w:rPr>
            </w:pPr>
            <w:r>
              <w:rPr>
                <w:color w:val="FFFFFF"/>
              </w:rPr>
              <w:t>Évaluée l’aide de la grille de correction (Annexe H)</w:t>
            </w:r>
            <w:r>
              <w:t xml:space="preserve"> </w:t>
            </w:r>
          </w:p>
        </w:tc>
      </w:tr>
      <w:tr w:rsidR="002949A0" w14:paraId="0D8C6F3F" w14:textId="77777777">
        <w:trPr>
          <w:trHeight w:val="4037"/>
        </w:trPr>
        <w:tc>
          <w:tcPr>
            <w:tcW w:w="5245" w:type="dxa"/>
            <w:gridSpan w:val="2"/>
            <w:shd w:val="clear" w:color="auto" w:fill="FFD1D1"/>
          </w:tcPr>
          <w:p w14:paraId="2654826A" w14:textId="77777777" w:rsidR="002949A0" w:rsidRDefault="002949A0">
            <w:pPr>
              <w:rPr>
                <w:color w:val="000000"/>
              </w:rPr>
            </w:pPr>
          </w:p>
          <w:p w14:paraId="131BEFFB" w14:textId="77777777" w:rsidR="002949A0" w:rsidRDefault="00FD3544">
            <w:pPr>
              <w:jc w:val="both"/>
              <w:rPr>
                <w:color w:val="000000"/>
              </w:rPr>
            </w:pPr>
            <w:r>
              <w:rPr>
                <w:color w:val="000000"/>
              </w:rPr>
              <w:t xml:space="preserve">À la suite de l’activité principale « le jeu du capital culturel » </w:t>
            </w:r>
            <w:r>
              <w:rPr>
                <w:b/>
                <w:color w:val="2F5496"/>
              </w:rPr>
              <w:t>(Annexe C)</w:t>
            </w:r>
            <w:r>
              <w:rPr>
                <w:color w:val="2F5496"/>
              </w:rPr>
              <w:t xml:space="preserve"> </w:t>
            </w:r>
            <w:r>
              <w:rPr>
                <w:color w:val="000000"/>
              </w:rPr>
              <w:t>l</w:t>
            </w:r>
            <w:r>
              <w:t>es élèves comparent les résultats de leur équipe avec ceux des autres groupes. Cette analyse permet de mettre en perspective les similitudes et les différences observées, en les reliant aux méthodes de collecte et d'analyse des données utilisées.</w:t>
            </w:r>
          </w:p>
          <w:p w14:paraId="31D230FF" w14:textId="77777777" w:rsidR="002949A0" w:rsidRDefault="00FD3544">
            <w:pPr>
              <w:jc w:val="both"/>
              <w:rPr>
                <w:color w:val="000000"/>
              </w:rPr>
            </w:pPr>
            <w:r>
              <w:rPr>
                <w:color w:val="000000"/>
              </w:rPr>
              <w:t>À la suite des différentes activités proposées dans cette SAE, l’élève sera en mesure d’identifier les limites de son interprétation.</w:t>
            </w:r>
          </w:p>
          <w:p w14:paraId="67AE850B" w14:textId="77777777" w:rsidR="002949A0" w:rsidRDefault="002949A0">
            <w:pPr>
              <w:rPr>
                <w:color w:val="000000"/>
              </w:rPr>
            </w:pPr>
          </w:p>
        </w:tc>
        <w:tc>
          <w:tcPr>
            <w:tcW w:w="5103" w:type="dxa"/>
            <w:gridSpan w:val="2"/>
            <w:shd w:val="clear" w:color="auto" w:fill="D5DCE4"/>
          </w:tcPr>
          <w:p w14:paraId="2D32F21B" w14:textId="77777777" w:rsidR="002949A0" w:rsidRDefault="002949A0">
            <w:pPr>
              <w:pBdr>
                <w:top w:val="nil"/>
                <w:left w:val="nil"/>
                <w:bottom w:val="nil"/>
                <w:right w:val="nil"/>
                <w:between w:val="nil"/>
              </w:pBdr>
              <w:jc w:val="both"/>
            </w:pPr>
          </w:p>
          <w:p w14:paraId="167EB9FF" w14:textId="77777777" w:rsidR="002949A0" w:rsidRDefault="00FD3544">
            <w:pPr>
              <w:jc w:val="both"/>
            </w:pPr>
            <w:r>
              <w:t xml:space="preserve">L’élève mobilise des informations et des concepts pertinents, notamment les concepts de culture dominante, sous-culture, capital culturel, reproduction sociale, etc. </w:t>
            </w:r>
          </w:p>
          <w:p w14:paraId="16B22A5B" w14:textId="77777777" w:rsidR="002949A0" w:rsidRDefault="00FD3544">
            <w:pPr>
              <w:jc w:val="both"/>
              <w:rPr>
                <w:rFonts w:ascii="Times New Roman" w:eastAsia="Times New Roman" w:hAnsi="Times New Roman" w:cs="Times New Roman"/>
                <w:sz w:val="24"/>
                <w:szCs w:val="24"/>
              </w:rPr>
            </w:pPr>
            <w:r>
              <w:t xml:space="preserve">Durant toute cette SAE, l’élève prend conscience de ses ressentis et de ses réactions en faisant du dialogue une pratique essentielle.  </w:t>
            </w:r>
          </w:p>
          <w:p w14:paraId="4C0F99CF" w14:textId="77777777" w:rsidR="002949A0" w:rsidRDefault="002949A0">
            <w:pPr>
              <w:pBdr>
                <w:top w:val="nil"/>
                <w:left w:val="nil"/>
                <w:bottom w:val="nil"/>
                <w:right w:val="nil"/>
                <w:between w:val="nil"/>
              </w:pBdr>
            </w:pPr>
          </w:p>
        </w:tc>
      </w:tr>
    </w:tbl>
    <w:p w14:paraId="5F947D94" w14:textId="77777777" w:rsidR="002949A0" w:rsidRDefault="002949A0"/>
    <w:tbl>
      <w:tblPr>
        <w:tblStyle w:val="a3"/>
        <w:tblW w:w="10348"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320"/>
        <w:gridCol w:w="28"/>
      </w:tblGrid>
      <w:tr w:rsidR="002949A0" w14:paraId="1DBD42D2" w14:textId="77777777">
        <w:trPr>
          <w:gridAfter w:val="1"/>
          <w:trHeight w:val="814"/>
        </w:trPr>
        <w:tc>
          <w:tcPr>
            <w:tcW w:w="10320" w:type="dxa"/>
            <w:shd w:val="clear" w:color="auto" w:fill="DBDBDB"/>
            <w:vAlign w:val="center"/>
          </w:tcPr>
          <w:p w14:paraId="5EA291B9" w14:textId="77777777" w:rsidR="002949A0" w:rsidRDefault="00FD3544">
            <w:pPr>
              <w:ind w:left="111"/>
              <w:jc w:val="center"/>
              <w:rPr>
                <w:b/>
              </w:rPr>
            </w:pPr>
            <w:bookmarkStart w:id="0" w:name="_heading=h.gjdgxs" w:colFirst="0" w:colLast="0"/>
            <w:bookmarkEnd w:id="0"/>
            <w:r>
              <w:rPr>
                <w:b/>
              </w:rPr>
              <w:t>CONTENU DE FORMATION</w:t>
            </w:r>
          </w:p>
        </w:tc>
      </w:tr>
      <w:tr w:rsidR="002949A0" w14:paraId="6D4087DD" w14:textId="77777777">
        <w:trPr>
          <w:trHeight w:val="1498"/>
        </w:trPr>
        <w:tc>
          <w:tcPr>
            <w:tcW w:w="10348" w:type="dxa"/>
            <w:gridSpan w:val="2"/>
            <w:shd w:val="clear" w:color="auto" w:fill="990000"/>
            <w:vAlign w:val="center"/>
          </w:tcPr>
          <w:p w14:paraId="00B93940" w14:textId="77777777" w:rsidR="002949A0" w:rsidRDefault="002949A0">
            <w:pPr>
              <w:jc w:val="center"/>
              <w:rPr>
                <w:b/>
              </w:rPr>
            </w:pPr>
          </w:p>
          <w:p w14:paraId="5CD60040" w14:textId="77777777" w:rsidR="002949A0" w:rsidRDefault="00FD3544">
            <w:pPr>
              <w:jc w:val="center"/>
              <w:rPr>
                <w:b/>
              </w:rPr>
            </w:pPr>
            <w:r>
              <w:rPr>
                <w:b/>
              </w:rPr>
              <w:t>Étudier des réalités culturelles (C1) et Réfléchir sur des questions éthiques (C2)</w:t>
            </w:r>
          </w:p>
          <w:p w14:paraId="18D47357" w14:textId="77777777" w:rsidR="002949A0" w:rsidRDefault="00FD3544">
            <w:pPr>
              <w:jc w:val="center"/>
              <w:rPr>
                <w:b/>
              </w:rPr>
            </w:pPr>
            <w:r>
              <w:t>CONCEPTS PRINCIPAUX ET PARTICULIERS</w:t>
            </w:r>
          </w:p>
          <w:p w14:paraId="2959989D" w14:textId="77777777" w:rsidR="002949A0" w:rsidRDefault="002949A0">
            <w:pPr>
              <w:jc w:val="center"/>
              <w:rPr>
                <w:b/>
                <w:highlight w:val="yellow"/>
              </w:rPr>
            </w:pPr>
          </w:p>
        </w:tc>
      </w:tr>
      <w:tr w:rsidR="002949A0" w14:paraId="4F82658C" w14:textId="77777777">
        <w:trPr>
          <w:trHeight w:val="2000"/>
        </w:trPr>
        <w:tc>
          <w:tcPr>
            <w:tcW w:w="10348" w:type="dxa"/>
            <w:gridSpan w:val="2"/>
            <w:shd w:val="clear" w:color="auto" w:fill="FFD1D1"/>
          </w:tcPr>
          <w:p w14:paraId="5FA91867" w14:textId="77777777" w:rsidR="002949A0" w:rsidRDefault="002949A0">
            <w:pPr>
              <w:spacing w:after="0" w:line="240" w:lineRule="auto"/>
              <w:rPr>
                <w:rFonts w:ascii="Aptos Light" w:eastAsia="Aptos Light" w:hAnsi="Aptos Light" w:cs="Aptos Light"/>
              </w:rPr>
            </w:pPr>
          </w:p>
          <w:p w14:paraId="751A0FA4" w14:textId="4A1F821D" w:rsidR="002949A0" w:rsidRDefault="00FD3544">
            <w:pPr>
              <w:pBdr>
                <w:top w:val="nil"/>
                <w:left w:val="nil"/>
                <w:bottom w:val="nil"/>
                <w:right w:val="nil"/>
                <w:between w:val="nil"/>
              </w:pBdr>
              <w:ind w:left="459"/>
            </w:pPr>
            <w:r>
              <w:rPr>
                <w:b/>
              </w:rPr>
              <w:t>Culture</w:t>
            </w:r>
            <w:r>
              <w:t> : conceptions de la culture (</w:t>
            </w:r>
            <w:r w:rsidR="00B41E32">
              <w:t>P</w:t>
            </w:r>
            <w:r>
              <w:t xml:space="preserve">rogramme CCQ, p.43). </w:t>
            </w:r>
          </w:p>
          <w:p w14:paraId="03D6F9D2" w14:textId="737D1986" w:rsidR="002949A0" w:rsidRDefault="00FD3544">
            <w:pPr>
              <w:pBdr>
                <w:top w:val="nil"/>
                <w:left w:val="nil"/>
                <w:bottom w:val="nil"/>
                <w:right w:val="nil"/>
                <w:between w:val="nil"/>
              </w:pBdr>
              <w:ind w:left="459"/>
            </w:pPr>
            <w:r>
              <w:rPr>
                <w:b/>
              </w:rPr>
              <w:t>Sous-culture</w:t>
            </w:r>
            <w:r>
              <w:t> : culture classique et culture scolaire (</w:t>
            </w:r>
            <w:r w:rsidR="00B41E32">
              <w:t>P</w:t>
            </w:r>
            <w:r>
              <w:t>rogramme CCQ, p.43).</w:t>
            </w:r>
          </w:p>
          <w:p w14:paraId="693AAED9" w14:textId="0E151DA5" w:rsidR="002949A0" w:rsidRDefault="00FD3544">
            <w:pPr>
              <w:pBdr>
                <w:top w:val="nil"/>
                <w:left w:val="nil"/>
                <w:bottom w:val="nil"/>
                <w:right w:val="nil"/>
                <w:between w:val="nil"/>
              </w:pBdr>
              <w:ind w:left="459"/>
            </w:pPr>
            <w:r>
              <w:rPr>
                <w:b/>
              </w:rPr>
              <w:t>Discrimination </w:t>
            </w:r>
            <w:r>
              <w:t>: Discrimination directe et indirecte, discrimination systémique (</w:t>
            </w:r>
            <w:r w:rsidR="00B41E32">
              <w:t>P</w:t>
            </w:r>
            <w:r>
              <w:t>rogramme CCQ, p.41).</w:t>
            </w:r>
          </w:p>
          <w:p w14:paraId="0B52B891" w14:textId="77777777" w:rsidR="002949A0" w:rsidRDefault="002949A0">
            <w:pPr>
              <w:pBdr>
                <w:top w:val="nil"/>
                <w:left w:val="nil"/>
                <w:bottom w:val="nil"/>
                <w:right w:val="nil"/>
                <w:between w:val="nil"/>
              </w:pBdr>
              <w:spacing w:after="0" w:line="240" w:lineRule="auto"/>
              <w:rPr>
                <w:highlight w:val="yellow"/>
              </w:rPr>
            </w:pPr>
          </w:p>
          <w:p w14:paraId="7F7F3E35" w14:textId="77777777" w:rsidR="002949A0" w:rsidRDefault="002949A0">
            <w:pPr>
              <w:pBdr>
                <w:top w:val="nil"/>
                <w:left w:val="nil"/>
                <w:bottom w:val="nil"/>
                <w:right w:val="nil"/>
                <w:between w:val="nil"/>
              </w:pBdr>
              <w:spacing w:after="0" w:line="240" w:lineRule="auto"/>
              <w:ind w:left="459"/>
              <w:rPr>
                <w:highlight w:val="yellow"/>
              </w:rPr>
            </w:pPr>
          </w:p>
        </w:tc>
      </w:tr>
    </w:tbl>
    <w:tbl>
      <w:tblPr>
        <w:tblStyle w:val="a4"/>
        <w:tblW w:w="10490"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490"/>
      </w:tblGrid>
      <w:tr w:rsidR="002949A0" w14:paraId="17EC01AF" w14:textId="77777777">
        <w:trPr>
          <w:trHeight w:val="1713"/>
        </w:trPr>
        <w:tc>
          <w:tcPr>
            <w:tcW w:w="10490" w:type="dxa"/>
            <w:tcBorders>
              <w:top w:val="single" w:sz="4" w:space="0" w:color="000000"/>
              <w:bottom w:val="single" w:sz="4" w:space="0" w:color="FFFFFF"/>
            </w:tcBorders>
            <w:shd w:val="clear" w:color="auto" w:fill="000000"/>
          </w:tcPr>
          <w:p w14:paraId="0B03DCDF" w14:textId="77777777" w:rsidR="002949A0" w:rsidRDefault="002949A0">
            <w:pPr>
              <w:rPr>
                <w:b/>
              </w:rPr>
            </w:pPr>
          </w:p>
          <w:p w14:paraId="2E3D186D" w14:textId="77777777" w:rsidR="002949A0" w:rsidRDefault="00FD3544">
            <w:pPr>
              <w:jc w:val="center"/>
              <w:rPr>
                <w:b/>
              </w:rPr>
            </w:pPr>
            <w:r>
              <w:rPr>
                <w:b/>
              </w:rPr>
              <w:t xml:space="preserve">DÉROULEMENT DE LA SAE </w:t>
            </w:r>
          </w:p>
          <w:p w14:paraId="78DED706" w14:textId="77777777" w:rsidR="002949A0" w:rsidRDefault="00FD3544">
            <w:pPr>
              <w:jc w:val="center"/>
              <w:rPr>
                <w:b/>
              </w:rPr>
            </w:pPr>
            <w:r>
              <w:rPr>
                <w:b/>
              </w:rPr>
              <w:t>PRÉPARATION – RÉALISATION – INTÉGRATION</w:t>
            </w:r>
          </w:p>
        </w:tc>
      </w:tr>
      <w:tr w:rsidR="002949A0" w14:paraId="661B7D37" w14:textId="77777777">
        <w:trPr>
          <w:trHeight w:val="784"/>
        </w:trPr>
        <w:tc>
          <w:tcPr>
            <w:tcW w:w="10490" w:type="dxa"/>
            <w:tcBorders>
              <w:top w:val="single" w:sz="4" w:space="0" w:color="FFFFFF"/>
            </w:tcBorders>
            <w:shd w:val="clear" w:color="auto" w:fill="D9D9D9"/>
          </w:tcPr>
          <w:p w14:paraId="54095DD5" w14:textId="77777777" w:rsidR="002949A0" w:rsidRDefault="00FD3544">
            <w:pPr>
              <w:jc w:val="center"/>
              <w:rPr>
                <w:b/>
                <w:sz w:val="36"/>
                <w:szCs w:val="36"/>
              </w:rPr>
            </w:pPr>
            <w:r>
              <w:rPr>
                <w:b/>
                <w:sz w:val="36"/>
                <w:szCs w:val="36"/>
              </w:rPr>
              <w:t>PRÉPARATION </w:t>
            </w:r>
          </w:p>
          <w:p w14:paraId="06618442" w14:textId="77777777" w:rsidR="002949A0" w:rsidRDefault="00FD3544">
            <w:pPr>
              <w:jc w:val="center"/>
              <w:rPr>
                <w:b/>
                <w:sz w:val="36"/>
                <w:szCs w:val="36"/>
              </w:rPr>
            </w:pPr>
            <w:r>
              <w:rPr>
                <w:b/>
                <w:sz w:val="24"/>
                <w:szCs w:val="24"/>
              </w:rPr>
              <w:t xml:space="preserve">Durée :  2h </w:t>
            </w:r>
          </w:p>
        </w:tc>
      </w:tr>
      <w:tr w:rsidR="002949A0" w14:paraId="2037972C" w14:textId="77777777">
        <w:trPr>
          <w:trHeight w:val="571"/>
        </w:trPr>
        <w:tc>
          <w:tcPr>
            <w:tcW w:w="10490" w:type="dxa"/>
            <w:tcBorders>
              <w:top w:val="single" w:sz="4" w:space="0" w:color="FFFFFF"/>
            </w:tcBorders>
            <w:shd w:val="clear" w:color="auto" w:fill="ECECEC"/>
          </w:tcPr>
          <w:p w14:paraId="479F8B62" w14:textId="77777777" w:rsidR="002949A0" w:rsidRDefault="00FD3544">
            <w:pPr>
              <w:pBdr>
                <w:top w:val="nil"/>
                <w:left w:val="nil"/>
                <w:bottom w:val="nil"/>
                <w:right w:val="nil"/>
                <w:between w:val="nil"/>
              </w:pBdr>
              <w:shd w:val="clear" w:color="auto" w:fill="ECECEC"/>
              <w:jc w:val="center"/>
              <w:rPr>
                <w:b/>
                <w:color w:val="000000"/>
                <w:sz w:val="28"/>
                <w:szCs w:val="28"/>
              </w:rPr>
            </w:pPr>
            <w:r>
              <w:rPr>
                <w:b/>
                <w:color w:val="000000"/>
                <w:sz w:val="28"/>
                <w:szCs w:val="28"/>
              </w:rPr>
              <w:t xml:space="preserve">Cours 1  </w:t>
            </w:r>
          </w:p>
          <w:p w14:paraId="4EB317BA" w14:textId="77777777" w:rsidR="002949A0" w:rsidRDefault="00FD3544">
            <w:pPr>
              <w:pBdr>
                <w:top w:val="nil"/>
                <w:left w:val="nil"/>
                <w:bottom w:val="nil"/>
                <w:right w:val="nil"/>
                <w:between w:val="nil"/>
              </w:pBdr>
              <w:shd w:val="clear" w:color="auto" w:fill="ECECEC"/>
              <w:jc w:val="center"/>
              <w:rPr>
                <w:b/>
                <w:color w:val="000000"/>
                <w:sz w:val="24"/>
                <w:szCs w:val="24"/>
              </w:rPr>
            </w:pPr>
            <w:r>
              <w:rPr>
                <w:b/>
                <w:color w:val="000000"/>
                <w:sz w:val="24"/>
                <w:szCs w:val="24"/>
              </w:rPr>
              <w:t xml:space="preserve">Support visuel : </w:t>
            </w:r>
            <w:hyperlink r:id="rId10">
              <w:r>
                <w:rPr>
                  <w:color w:val="0563C1"/>
                  <w:u w:val="single"/>
                </w:rPr>
                <w:t>Cultures et inégalités sous la loupe ! (genially.com)</w:t>
              </w:r>
            </w:hyperlink>
          </w:p>
          <w:p w14:paraId="47A20E57" w14:textId="77777777" w:rsidR="002949A0" w:rsidRDefault="00FD3544">
            <w:pPr>
              <w:widowControl w:val="0"/>
              <w:pBdr>
                <w:top w:val="nil"/>
                <w:left w:val="nil"/>
                <w:bottom w:val="nil"/>
                <w:right w:val="nil"/>
                <w:between w:val="nil"/>
              </w:pBdr>
              <w:spacing w:after="0" w:line="240" w:lineRule="auto"/>
              <w:ind w:left="416"/>
              <w:jc w:val="center"/>
              <w:rPr>
                <w:color w:val="000000"/>
              </w:rPr>
            </w:pPr>
            <w:r>
              <w:rPr>
                <w:b/>
                <w:i/>
                <w:color w:val="FF0000"/>
                <w:sz w:val="20"/>
                <w:szCs w:val="20"/>
              </w:rPr>
              <w:t xml:space="preserve">Important : </w:t>
            </w:r>
            <w:r>
              <w:rPr>
                <w:i/>
                <w:color w:val="FF0000"/>
                <w:sz w:val="20"/>
                <w:szCs w:val="20"/>
              </w:rPr>
              <w:t xml:space="preserve">Vous devez cliquer sur l’icône « présenter », en haut à droite du </w:t>
            </w:r>
            <w:proofErr w:type="spellStart"/>
            <w:r>
              <w:rPr>
                <w:i/>
                <w:color w:val="FF0000"/>
                <w:sz w:val="20"/>
                <w:szCs w:val="20"/>
              </w:rPr>
              <w:t>Genially</w:t>
            </w:r>
            <w:proofErr w:type="spellEnd"/>
            <w:r>
              <w:rPr>
                <w:i/>
                <w:color w:val="FF0000"/>
                <w:sz w:val="20"/>
                <w:szCs w:val="20"/>
              </w:rPr>
              <w:t>, pour accéder au mode présentation et pouvoir cliquer sur les liens présentés dans celui-ci.</w:t>
            </w:r>
          </w:p>
          <w:p w14:paraId="2F0CFC4B" w14:textId="77777777" w:rsidR="002949A0" w:rsidRDefault="002949A0">
            <w:pPr>
              <w:pBdr>
                <w:top w:val="nil"/>
                <w:left w:val="nil"/>
                <w:bottom w:val="nil"/>
                <w:right w:val="nil"/>
                <w:between w:val="nil"/>
              </w:pBdr>
              <w:shd w:val="clear" w:color="auto" w:fill="ECECEC"/>
              <w:jc w:val="center"/>
              <w:rPr>
                <w:b/>
                <w:i/>
                <w:color w:val="FF0000"/>
                <w:sz w:val="20"/>
                <w:szCs w:val="20"/>
              </w:rPr>
            </w:pPr>
          </w:p>
        </w:tc>
      </w:tr>
      <w:tr w:rsidR="002949A0" w14:paraId="7D156F0B" w14:textId="77777777">
        <w:trPr>
          <w:trHeight w:val="805"/>
        </w:trPr>
        <w:tc>
          <w:tcPr>
            <w:tcW w:w="10490" w:type="dxa"/>
            <w:tcBorders>
              <w:top w:val="single" w:sz="4" w:space="0" w:color="FFFFFF"/>
            </w:tcBorders>
            <w:shd w:val="clear" w:color="auto" w:fill="auto"/>
          </w:tcPr>
          <w:p w14:paraId="0FAF493B" w14:textId="77777777" w:rsidR="002949A0" w:rsidRDefault="002949A0">
            <w:pPr>
              <w:pBdr>
                <w:top w:val="nil"/>
                <w:left w:val="nil"/>
                <w:bottom w:val="nil"/>
                <w:right w:val="nil"/>
                <w:between w:val="nil"/>
              </w:pBdr>
              <w:spacing w:after="0" w:line="240" w:lineRule="auto"/>
              <w:ind w:left="414"/>
              <w:jc w:val="both"/>
              <w:rPr>
                <w:color w:val="000000"/>
              </w:rPr>
            </w:pPr>
          </w:p>
          <w:p w14:paraId="52991288" w14:textId="77777777" w:rsidR="002949A0" w:rsidRDefault="00FD3544">
            <w:pPr>
              <w:numPr>
                <w:ilvl w:val="0"/>
                <w:numId w:val="2"/>
              </w:numPr>
              <w:pBdr>
                <w:top w:val="nil"/>
                <w:left w:val="nil"/>
                <w:bottom w:val="nil"/>
                <w:right w:val="nil"/>
                <w:between w:val="nil"/>
              </w:pBdr>
              <w:spacing w:after="0" w:line="240" w:lineRule="auto"/>
              <w:ind w:left="414" w:hanging="357"/>
              <w:jc w:val="both"/>
              <w:rPr>
                <w:color w:val="000000"/>
              </w:rPr>
            </w:pPr>
            <w:r>
              <w:rPr>
                <w:b/>
                <w:color w:val="000000"/>
              </w:rPr>
              <w:t xml:space="preserve">Élément déclencheur </w:t>
            </w:r>
            <w:r>
              <w:rPr>
                <w:color w:val="000000"/>
              </w:rPr>
              <w:t xml:space="preserve">: La personne enseignante affiche au TNI (si souhaité) la question suivante : « La culture, ça veut dire quoi ? »  </w:t>
            </w:r>
            <w:r>
              <w:rPr>
                <w:b/>
                <w:color w:val="2F5496"/>
              </w:rPr>
              <w:t xml:space="preserve">(Diapo 2). </w:t>
            </w:r>
          </w:p>
          <w:p w14:paraId="5568CACA" w14:textId="77777777" w:rsidR="002949A0" w:rsidRDefault="002949A0">
            <w:pPr>
              <w:pBdr>
                <w:top w:val="nil"/>
                <w:left w:val="nil"/>
                <w:bottom w:val="nil"/>
                <w:right w:val="nil"/>
                <w:between w:val="nil"/>
              </w:pBdr>
              <w:spacing w:after="0" w:line="240" w:lineRule="auto"/>
              <w:ind w:left="414"/>
              <w:jc w:val="both"/>
              <w:rPr>
                <w:color w:val="000000"/>
              </w:rPr>
            </w:pPr>
          </w:p>
          <w:p w14:paraId="303889FD" w14:textId="77777777" w:rsidR="002949A0" w:rsidRDefault="00FD3544">
            <w:pPr>
              <w:numPr>
                <w:ilvl w:val="0"/>
                <w:numId w:val="2"/>
              </w:numPr>
              <w:pBdr>
                <w:top w:val="nil"/>
                <w:left w:val="nil"/>
                <w:bottom w:val="nil"/>
                <w:right w:val="nil"/>
                <w:between w:val="nil"/>
              </w:pBdr>
              <w:spacing w:after="0" w:line="240" w:lineRule="auto"/>
              <w:ind w:left="414" w:hanging="357"/>
              <w:jc w:val="both"/>
              <w:rPr>
                <w:color w:val="000000"/>
              </w:rPr>
            </w:pPr>
            <w:r>
              <w:rPr>
                <w:b/>
                <w:color w:val="000000"/>
              </w:rPr>
              <w:t xml:space="preserve">Réponses sur </w:t>
            </w:r>
            <w:proofErr w:type="spellStart"/>
            <w:r>
              <w:rPr>
                <w:b/>
                <w:color w:val="000000"/>
              </w:rPr>
              <w:t>Wooclap</w:t>
            </w:r>
            <w:proofErr w:type="spellEnd"/>
            <w:r>
              <w:rPr>
                <w:color w:val="000000"/>
              </w:rPr>
              <w:t xml:space="preserve"> : La personne enseignante invite ensuite les élèves à inscrire leur réponse sur </w:t>
            </w:r>
            <w:proofErr w:type="spellStart"/>
            <w:r>
              <w:rPr>
                <w:color w:val="000000"/>
              </w:rPr>
              <w:t>Wooclap</w:t>
            </w:r>
            <w:proofErr w:type="spellEnd"/>
            <w:r>
              <w:rPr>
                <w:color w:val="000000"/>
              </w:rPr>
              <w:t xml:space="preserve"> pour former un nuage de mots qui sera affiché au TNI </w:t>
            </w:r>
            <w:r>
              <w:rPr>
                <w:b/>
                <w:color w:val="2F5496"/>
              </w:rPr>
              <w:t>(Diapo 3).</w:t>
            </w:r>
          </w:p>
          <w:p w14:paraId="04128A40" w14:textId="77777777" w:rsidR="002949A0" w:rsidRDefault="002949A0">
            <w:pPr>
              <w:pBdr>
                <w:top w:val="nil"/>
                <w:left w:val="nil"/>
                <w:bottom w:val="nil"/>
                <w:right w:val="nil"/>
                <w:between w:val="nil"/>
              </w:pBdr>
              <w:spacing w:after="0" w:line="240" w:lineRule="auto"/>
              <w:ind w:left="414"/>
              <w:jc w:val="both"/>
              <w:rPr>
                <w:color w:val="000000"/>
              </w:rPr>
            </w:pPr>
          </w:p>
          <w:p w14:paraId="564E7CD6" w14:textId="77777777" w:rsidR="002949A0" w:rsidRDefault="00FD3544">
            <w:pPr>
              <w:numPr>
                <w:ilvl w:val="0"/>
                <w:numId w:val="2"/>
              </w:numPr>
              <w:pBdr>
                <w:top w:val="nil"/>
                <w:left w:val="nil"/>
                <w:bottom w:val="nil"/>
                <w:right w:val="nil"/>
                <w:between w:val="nil"/>
              </w:pBdr>
              <w:spacing w:after="0" w:line="240" w:lineRule="auto"/>
              <w:ind w:left="414" w:hanging="357"/>
              <w:jc w:val="both"/>
              <w:rPr>
                <w:color w:val="000000"/>
              </w:rPr>
            </w:pPr>
            <w:r>
              <w:rPr>
                <w:b/>
                <w:color w:val="000000"/>
              </w:rPr>
              <w:t>Discussion de groupe</w:t>
            </w:r>
            <w:r>
              <w:rPr>
                <w:color w:val="000000"/>
              </w:rPr>
              <w:t xml:space="preserve"> : La personne enseignante initie une discussion en classe pour parvenir à une définition commune et favoriser le dialogue. Cette approche s’inspire de l’approche conceptuelle de </w:t>
            </w:r>
            <w:proofErr w:type="spellStart"/>
            <w:r>
              <w:rPr>
                <w:color w:val="000000"/>
              </w:rPr>
              <w:t>Britt</w:t>
            </w:r>
            <w:proofErr w:type="spellEnd"/>
            <w:r>
              <w:rPr>
                <w:color w:val="000000"/>
              </w:rPr>
              <w:t>-Mari Barth</w:t>
            </w:r>
            <w:r>
              <w:rPr>
                <w:color w:val="000000"/>
                <w:vertAlign w:val="superscript"/>
              </w:rPr>
              <w:footnoteReference w:id="1"/>
            </w:r>
            <w:r>
              <w:rPr>
                <w:color w:val="000000"/>
              </w:rPr>
              <w:t xml:space="preserve">. Les élèves s’accordent sur les mots inscrits sur </w:t>
            </w:r>
            <w:proofErr w:type="spellStart"/>
            <w:r>
              <w:rPr>
                <w:color w:val="000000"/>
              </w:rPr>
              <w:t>Wooclap</w:t>
            </w:r>
            <w:proofErr w:type="spellEnd"/>
            <w:r>
              <w:rPr>
                <w:color w:val="000000"/>
              </w:rPr>
              <w:t xml:space="preserve"> qui semblent les plus pertinents. Ensuite, il s’agit d’inscrire au tableau les mots retenus par les élèves et guide la classe vers une définition commune.</w:t>
            </w:r>
          </w:p>
          <w:p w14:paraId="1C17F171" w14:textId="77777777" w:rsidR="002949A0" w:rsidRDefault="002949A0">
            <w:pPr>
              <w:spacing w:after="0" w:line="240" w:lineRule="auto"/>
              <w:jc w:val="both"/>
            </w:pPr>
          </w:p>
          <w:p w14:paraId="5D962B67" w14:textId="77777777" w:rsidR="002949A0" w:rsidRDefault="00FD3544">
            <w:pPr>
              <w:numPr>
                <w:ilvl w:val="0"/>
                <w:numId w:val="2"/>
              </w:numPr>
              <w:pBdr>
                <w:top w:val="nil"/>
                <w:left w:val="nil"/>
                <w:bottom w:val="nil"/>
                <w:right w:val="nil"/>
                <w:between w:val="nil"/>
              </w:pBdr>
              <w:spacing w:after="0" w:line="240" w:lineRule="auto"/>
              <w:ind w:left="414" w:hanging="357"/>
              <w:rPr>
                <w:color w:val="000000"/>
              </w:rPr>
            </w:pPr>
            <w:r>
              <w:rPr>
                <w:b/>
                <w:color w:val="000000"/>
              </w:rPr>
              <w:t>Reconnaissance des difficultés</w:t>
            </w:r>
            <w:r>
              <w:rPr>
                <w:color w:val="000000"/>
              </w:rPr>
              <w:t xml:space="preserve"> : la personne enseignante souligne la difficulté de définir un terme aussi complexe </w:t>
            </w:r>
            <w:r>
              <w:rPr>
                <w:b/>
                <w:color w:val="2F5496"/>
              </w:rPr>
              <w:t>(Diapo 4)</w:t>
            </w:r>
            <w:r>
              <w:rPr>
                <w:color w:val="000000"/>
              </w:rPr>
              <w:t>.</w:t>
            </w:r>
          </w:p>
          <w:p w14:paraId="650C06D3" w14:textId="77777777" w:rsidR="002949A0" w:rsidRDefault="002949A0">
            <w:pPr>
              <w:spacing w:after="0" w:line="240" w:lineRule="auto"/>
            </w:pPr>
          </w:p>
          <w:p w14:paraId="196EC8E3"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Présentation de définitions standards</w:t>
            </w:r>
            <w:r>
              <w:rPr>
                <w:color w:val="000000"/>
              </w:rPr>
              <w:t xml:space="preserve"> : La personne enseignante présente ensuite une définition plus standard et reconnue, soit celle proposée par le programme </w:t>
            </w:r>
            <w:r>
              <w:rPr>
                <w:b/>
                <w:color w:val="2F5496"/>
              </w:rPr>
              <w:t>(Diapo 5)</w:t>
            </w:r>
            <w:r>
              <w:rPr>
                <w:b/>
                <w:color w:val="000000"/>
              </w:rPr>
              <w:t xml:space="preserve">. </w:t>
            </w:r>
          </w:p>
          <w:p w14:paraId="64E2279E" w14:textId="77777777" w:rsidR="002949A0" w:rsidRDefault="00FD3544">
            <w:pPr>
              <w:numPr>
                <w:ilvl w:val="0"/>
                <w:numId w:val="2"/>
              </w:numPr>
              <w:pBdr>
                <w:top w:val="nil"/>
                <w:left w:val="nil"/>
                <w:bottom w:val="nil"/>
                <w:right w:val="nil"/>
                <w:between w:val="nil"/>
              </w:pBdr>
              <w:spacing w:before="280" w:after="280" w:line="240" w:lineRule="auto"/>
              <w:jc w:val="both"/>
              <w:rPr>
                <w:color w:val="000000"/>
              </w:rPr>
            </w:pPr>
            <w:r>
              <w:rPr>
                <w:b/>
                <w:color w:val="000000"/>
              </w:rPr>
              <w:t>Présentation de la métaphore de l'arbre</w:t>
            </w:r>
            <w:r>
              <w:rPr>
                <w:color w:val="000000"/>
              </w:rPr>
              <w:t xml:space="preserve"> : Afin de mieux illustrer le concept de culture aux élèves, la personne enseignante affiche « la métaphore de l’arbre » élaborée par l’organisme AFS</w:t>
            </w:r>
            <w:r>
              <w:rPr>
                <w:color w:val="000000"/>
                <w:vertAlign w:val="superscript"/>
              </w:rPr>
              <w:footnoteReference w:id="2"/>
            </w:r>
            <w:r>
              <w:rPr>
                <w:color w:val="000000"/>
              </w:rPr>
              <w:t xml:space="preserve"> </w:t>
            </w:r>
            <w:r>
              <w:rPr>
                <w:b/>
                <w:color w:val="2F5496"/>
              </w:rPr>
              <w:t>(Diapo 6)</w:t>
            </w:r>
            <w:r>
              <w:rPr>
                <w:color w:val="000000"/>
              </w:rPr>
              <w:t xml:space="preserve">. Celle-ci explique que le feuillage de l’arbre représente les éléments visibles de la culture, la terre symbolise le groupe d’appartenance et les institutions, et les racines sont les éléments invisibles de la culture. La personne enseignante dessine un </w:t>
            </w:r>
            <w:r>
              <w:rPr>
                <w:color w:val="000000"/>
              </w:rPr>
              <w:lastRenderedPageBreak/>
              <w:t>arbre au tableau et demande aux élèves de donner des exemples. Elle aide les élèves à compléter l’arbre à l’aide du document « Découvrir la culture et son identité »</w:t>
            </w:r>
            <w:r>
              <w:rPr>
                <w:b/>
                <w:color w:val="ED7D31"/>
              </w:rPr>
              <w:t xml:space="preserve"> </w:t>
            </w:r>
            <w:r>
              <w:rPr>
                <w:b/>
                <w:color w:val="2F5496"/>
              </w:rPr>
              <w:t>(Annexe A)</w:t>
            </w:r>
            <w:r>
              <w:rPr>
                <w:b/>
                <w:color w:val="000000"/>
              </w:rPr>
              <w:t>.</w:t>
            </w:r>
            <w:r>
              <w:rPr>
                <w:color w:val="000000"/>
              </w:rPr>
              <w:t xml:space="preserve"> </w:t>
            </w:r>
          </w:p>
          <w:p w14:paraId="29C913F0" w14:textId="77777777" w:rsidR="002949A0" w:rsidRDefault="00FD3544">
            <w:pPr>
              <w:numPr>
                <w:ilvl w:val="0"/>
                <w:numId w:val="2"/>
              </w:numPr>
              <w:pBdr>
                <w:top w:val="nil"/>
                <w:left w:val="nil"/>
                <w:bottom w:val="nil"/>
                <w:right w:val="nil"/>
                <w:between w:val="nil"/>
              </w:pBdr>
              <w:spacing w:before="280" w:after="280" w:line="240" w:lineRule="auto"/>
              <w:jc w:val="both"/>
              <w:rPr>
                <w:color w:val="000000"/>
              </w:rPr>
            </w:pPr>
            <w:r>
              <w:rPr>
                <w:b/>
                <w:color w:val="000000"/>
              </w:rPr>
              <w:t>Activité individuelle sur l'arbre culturel </w:t>
            </w:r>
            <w:r>
              <w:rPr>
                <w:color w:val="000000"/>
              </w:rPr>
              <w:t>: Inviter les élèves à dessiner individuellement leur propre arbre culturel en utilisant l'activité fournie par l'AFS</w:t>
            </w:r>
            <w:r>
              <w:rPr>
                <w:color w:val="000000"/>
                <w:vertAlign w:val="superscript"/>
              </w:rPr>
              <w:footnoteReference w:id="3"/>
            </w:r>
            <w:r>
              <w:rPr>
                <w:color w:val="000000"/>
              </w:rPr>
              <w:t xml:space="preserve"> « Mon arbuste culturel » </w:t>
            </w:r>
            <w:r>
              <w:rPr>
                <w:b/>
                <w:color w:val="2F5496"/>
              </w:rPr>
              <w:t>(Annexe B)</w:t>
            </w:r>
            <w:r>
              <w:rPr>
                <w:color w:val="000000"/>
              </w:rPr>
              <w:t xml:space="preserve">. Cette activité demande aux élèves d’identifier les éléments de leur culture correspondant au feuillage de l’arbre, de la terre et aux racines, tel qu’enseigné plus tôt.  </w:t>
            </w:r>
          </w:p>
          <w:p w14:paraId="24923173"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Encouragement et explication</w:t>
            </w:r>
            <w:r>
              <w:rPr>
                <w:color w:val="000000"/>
              </w:rPr>
              <w:t xml:space="preserve"> : La personne enseignante rassure les élèves en reconnaissant la complexité d’un tel exercice. Elle donne, par la même occasion, l’analogie d’un poisson dans l’eau qui ne sait pas qu’il est dans l’océan </w:t>
            </w:r>
            <w:r>
              <w:rPr>
                <w:b/>
                <w:color w:val="2F5496"/>
              </w:rPr>
              <w:t>(Diapo 7)</w:t>
            </w:r>
            <w:r>
              <w:rPr>
                <w:color w:val="000000"/>
              </w:rPr>
              <w:t xml:space="preserve">. Un parallèle intéressant pour montrer à quel point la culture est omniprésente. </w:t>
            </w:r>
          </w:p>
          <w:p w14:paraId="2C5F9259" w14:textId="77777777" w:rsidR="007C37DD" w:rsidRDefault="007C37DD" w:rsidP="007C37DD">
            <w:pPr>
              <w:pBdr>
                <w:top w:val="nil"/>
                <w:left w:val="nil"/>
                <w:bottom w:val="nil"/>
                <w:right w:val="nil"/>
                <w:between w:val="nil"/>
              </w:pBdr>
              <w:spacing w:after="0" w:line="240" w:lineRule="auto"/>
              <w:ind w:left="416"/>
              <w:jc w:val="both"/>
              <w:rPr>
                <w:b/>
                <w:color w:val="000000"/>
              </w:rPr>
            </w:pPr>
          </w:p>
          <w:p w14:paraId="1B79CEDF" w14:textId="2DF84186" w:rsidR="002949A0" w:rsidRDefault="00FD3544">
            <w:pPr>
              <w:numPr>
                <w:ilvl w:val="0"/>
                <w:numId w:val="2"/>
              </w:numPr>
              <w:pBdr>
                <w:top w:val="nil"/>
                <w:left w:val="nil"/>
                <w:bottom w:val="nil"/>
                <w:right w:val="nil"/>
                <w:between w:val="nil"/>
              </w:pBdr>
              <w:spacing w:after="0" w:line="240" w:lineRule="auto"/>
              <w:jc w:val="both"/>
              <w:rPr>
                <w:b/>
                <w:color w:val="000000"/>
              </w:rPr>
            </w:pPr>
            <w:r>
              <w:rPr>
                <w:b/>
                <w:color w:val="000000"/>
              </w:rPr>
              <w:t xml:space="preserve">Histoire du poisson : </w:t>
            </w:r>
            <w:r>
              <w:rPr>
                <w:color w:val="000000"/>
              </w:rPr>
              <w:t xml:space="preserve">C’est l’histoire d’un poisson qui entendait les pêcheurs parler sans fin de l’océan. Ils le décrivaient comme un lieu majestueux, immense et d’un bleu profond. Fasciné, le poisson rêvait de le découvrir. Un jour, il décida de partir à sa recherche. Après une longue quête, il rencontra un poisson sage et demanda : </w:t>
            </w:r>
            <w:r w:rsidR="007C37DD">
              <w:rPr>
                <w:color w:val="000000"/>
              </w:rPr>
              <w:t xml:space="preserve">« </w:t>
            </w:r>
            <w:r>
              <w:rPr>
                <w:color w:val="000000"/>
              </w:rPr>
              <w:t>Cher poisson sage, où est cet océan dont tout le monde parle ?</w:t>
            </w:r>
            <w:r w:rsidR="007C37DD">
              <w:rPr>
                <w:color w:val="000000"/>
              </w:rPr>
              <w:t xml:space="preserve"> » </w:t>
            </w:r>
            <w:r>
              <w:rPr>
                <w:color w:val="000000"/>
              </w:rPr>
              <w:t xml:space="preserve">Le poisson sage répondit : </w:t>
            </w:r>
            <w:r w:rsidR="007C37DD">
              <w:rPr>
                <w:color w:val="000000"/>
              </w:rPr>
              <w:t xml:space="preserve">« </w:t>
            </w:r>
            <w:r>
              <w:rPr>
                <w:color w:val="000000"/>
              </w:rPr>
              <w:t>Mais voyons, l’océan, vous y êtes déjà ! Vous nagez dedans !</w:t>
            </w:r>
            <w:r w:rsidR="007C37DD">
              <w:rPr>
                <w:color w:val="000000"/>
              </w:rPr>
              <w:t xml:space="preserve"> » </w:t>
            </w:r>
            <w:r>
              <w:rPr>
                <w:color w:val="000000"/>
              </w:rPr>
              <w:t xml:space="preserve">Le poisson, confus, répliqua : </w:t>
            </w:r>
            <w:r w:rsidR="007C37DD">
              <w:rPr>
                <w:color w:val="000000"/>
              </w:rPr>
              <w:t xml:space="preserve">« </w:t>
            </w:r>
            <w:r>
              <w:rPr>
                <w:color w:val="000000"/>
              </w:rPr>
              <w:t>Mais non, c’est de l’eau, moi je veux l’océan !</w:t>
            </w:r>
            <w:r w:rsidR="007C37DD">
              <w:rPr>
                <w:color w:val="000000"/>
              </w:rPr>
              <w:t xml:space="preserve"> »</w:t>
            </w:r>
          </w:p>
          <w:p w14:paraId="390A8A8D" w14:textId="77777777" w:rsidR="007C37DD" w:rsidRDefault="007C37DD" w:rsidP="007C37DD">
            <w:pPr>
              <w:pBdr>
                <w:top w:val="nil"/>
                <w:left w:val="nil"/>
                <w:bottom w:val="nil"/>
                <w:right w:val="nil"/>
                <w:between w:val="nil"/>
              </w:pBdr>
              <w:spacing w:after="0" w:line="240" w:lineRule="auto"/>
              <w:ind w:left="416"/>
              <w:jc w:val="both"/>
              <w:rPr>
                <w:color w:val="000000"/>
              </w:rPr>
            </w:pPr>
          </w:p>
          <w:p w14:paraId="08EFC457" w14:textId="25C85D3B" w:rsidR="002949A0" w:rsidRDefault="00FD3544">
            <w:pPr>
              <w:numPr>
                <w:ilvl w:val="0"/>
                <w:numId w:val="2"/>
              </w:numPr>
              <w:pBdr>
                <w:top w:val="nil"/>
                <w:left w:val="nil"/>
                <w:bottom w:val="nil"/>
                <w:right w:val="nil"/>
                <w:between w:val="nil"/>
              </w:pBdr>
              <w:spacing w:after="0" w:line="240" w:lineRule="auto"/>
              <w:jc w:val="both"/>
              <w:rPr>
                <w:color w:val="000000"/>
              </w:rPr>
            </w:pPr>
            <w:r>
              <w:rPr>
                <w:color w:val="000000"/>
              </w:rPr>
              <w:t xml:space="preserve">Pour </w:t>
            </w:r>
            <w:r>
              <w:rPr>
                <w:color w:val="000000"/>
              </w:rPr>
              <w:t>soutenir davantage</w:t>
            </w:r>
            <w:r w:rsidR="00776778">
              <w:rPr>
                <w:color w:val="000000"/>
              </w:rPr>
              <w:t xml:space="preserve"> les élèves</w:t>
            </w:r>
            <w:r>
              <w:rPr>
                <w:color w:val="000000"/>
              </w:rPr>
              <w:t xml:space="preserve">, la personne enseignante peut réduire la métaphore de l’arbre, présentée plus tôt, à une plus petite échelle. La famille pousse sur la même terre et dans le même jardin. Cette figure permet aux élèves de saisir la notion de culture première </w:t>
            </w:r>
            <w:r>
              <w:rPr>
                <w:b/>
                <w:color w:val="2F5496"/>
              </w:rPr>
              <w:t>(Diapo 8)</w:t>
            </w:r>
            <w:r>
              <w:rPr>
                <w:color w:val="000000"/>
              </w:rPr>
              <w:t xml:space="preserve">. </w:t>
            </w:r>
          </w:p>
          <w:p w14:paraId="714BEA2F" w14:textId="77777777" w:rsidR="002949A0" w:rsidRDefault="002949A0">
            <w:pPr>
              <w:pBdr>
                <w:top w:val="nil"/>
                <w:left w:val="nil"/>
                <w:bottom w:val="nil"/>
                <w:right w:val="nil"/>
                <w:between w:val="nil"/>
              </w:pBdr>
              <w:spacing w:after="0" w:line="240" w:lineRule="auto"/>
              <w:jc w:val="both"/>
              <w:rPr>
                <w:color w:val="000000"/>
              </w:rPr>
            </w:pPr>
          </w:p>
          <w:p w14:paraId="08641034" w14:textId="77777777" w:rsidR="002949A0" w:rsidRDefault="00FD3544">
            <w:pPr>
              <w:numPr>
                <w:ilvl w:val="0"/>
                <w:numId w:val="2"/>
              </w:numPr>
              <w:pBdr>
                <w:top w:val="nil"/>
                <w:left w:val="nil"/>
                <w:bottom w:val="nil"/>
                <w:right w:val="nil"/>
                <w:between w:val="nil"/>
              </w:pBdr>
              <w:rPr>
                <w:color w:val="000000"/>
              </w:rPr>
            </w:pPr>
            <w:r>
              <w:rPr>
                <w:b/>
                <w:color w:val="000000"/>
              </w:rPr>
              <w:t>Distribution de l’activité</w:t>
            </w:r>
            <w:r>
              <w:rPr>
                <w:color w:val="000000"/>
              </w:rPr>
              <w:t xml:space="preserve"> : L'activité mentionnée précédemment </w:t>
            </w:r>
            <w:r>
              <w:rPr>
                <w:b/>
                <w:color w:val="2F5496"/>
              </w:rPr>
              <w:t>(Annexe B)</w:t>
            </w:r>
            <w:r>
              <w:rPr>
                <w:color w:val="2F5496"/>
              </w:rPr>
              <w:t xml:space="preserve"> </w:t>
            </w:r>
            <w:r>
              <w:rPr>
                <w:color w:val="000000"/>
              </w:rPr>
              <w:t>est distribuée aux élèves. En préparation à cette étape, l'enseignante imprime une copie du document pour chaque élève dans sa classe.</w:t>
            </w:r>
          </w:p>
          <w:p w14:paraId="61E94618"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Comparaison en sous-groupes</w:t>
            </w:r>
            <w:r>
              <w:rPr>
                <w:color w:val="000000"/>
              </w:rPr>
              <w:t xml:space="preserve"> : Après une quinzaine minutes, les élèves comparent leurs arbres culturels en sous-groupes et notent les différences et les similarités. Ensuite, l’ensemble de la classe partagent leurs observations avec la personne enseignante, en grand groupe.  </w:t>
            </w:r>
          </w:p>
          <w:p w14:paraId="4D3301AE" w14:textId="77777777" w:rsidR="002949A0" w:rsidRDefault="002949A0">
            <w:pPr>
              <w:pBdr>
                <w:top w:val="nil"/>
                <w:left w:val="nil"/>
                <w:bottom w:val="nil"/>
                <w:right w:val="nil"/>
                <w:between w:val="nil"/>
              </w:pBdr>
              <w:spacing w:after="0" w:line="240" w:lineRule="auto"/>
              <w:jc w:val="both"/>
              <w:rPr>
                <w:color w:val="000000"/>
              </w:rPr>
            </w:pPr>
          </w:p>
          <w:p w14:paraId="38D43D76"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Stimulation de la conversation</w:t>
            </w:r>
            <w:r>
              <w:rPr>
                <w:color w:val="000000"/>
              </w:rPr>
              <w:t xml:space="preserve"> : Pour stimuler la discussion, la personne enseignante pose les questions suivantes : « Pourquoi s'intéresser à la culture des autres ? »  « Que peut-il arriver lorsque deux cultures différentes se côtoient ? » </w:t>
            </w:r>
            <w:r>
              <w:rPr>
                <w:b/>
                <w:color w:val="2F5496"/>
              </w:rPr>
              <w:t>(Diapo 9)</w:t>
            </w:r>
            <w:r>
              <w:rPr>
                <w:color w:val="000000"/>
              </w:rPr>
              <w:t>.</w:t>
            </w:r>
            <w:r>
              <w:rPr>
                <w:color w:val="ED7D31"/>
              </w:rPr>
              <w:t xml:space="preserve"> </w:t>
            </w:r>
            <w:r>
              <w:rPr>
                <w:color w:val="000000"/>
              </w:rPr>
              <w:t>L’objectif est d’amener les élèves à réaliser l'importance de la diversité culturelle, à comprendre les dynamiques d'interaction entre différentes cultures, et à réfléchir aux enrichissements mutuels ainsi qu'aux possibles tensions ou malentendus qui peuvent survenir. La personne enseigna</w:t>
            </w:r>
            <w:r>
              <w:rPr>
                <w:color w:val="000000"/>
              </w:rPr>
              <w:t xml:space="preserve">nte peut noter les réponses au tableau. </w:t>
            </w:r>
          </w:p>
          <w:p w14:paraId="4146BC1F" w14:textId="77777777" w:rsidR="002949A0" w:rsidRDefault="002949A0">
            <w:pPr>
              <w:pBdr>
                <w:top w:val="nil"/>
                <w:left w:val="nil"/>
                <w:bottom w:val="nil"/>
                <w:right w:val="nil"/>
                <w:between w:val="nil"/>
              </w:pBdr>
              <w:spacing w:after="0" w:line="240" w:lineRule="auto"/>
              <w:ind w:left="720"/>
              <w:rPr>
                <w:b/>
                <w:color w:val="000000"/>
                <w:sz w:val="24"/>
                <w:szCs w:val="24"/>
              </w:rPr>
            </w:pPr>
          </w:p>
          <w:p w14:paraId="51ABCC73" w14:textId="77777777" w:rsidR="002949A0" w:rsidRDefault="00FD3544">
            <w:pPr>
              <w:numPr>
                <w:ilvl w:val="0"/>
                <w:numId w:val="2"/>
              </w:numPr>
              <w:pBdr>
                <w:top w:val="nil"/>
                <w:left w:val="nil"/>
                <w:bottom w:val="nil"/>
                <w:right w:val="nil"/>
                <w:between w:val="nil"/>
              </w:pBdr>
              <w:spacing w:line="240" w:lineRule="auto"/>
              <w:jc w:val="both"/>
              <w:rPr>
                <w:b/>
                <w:color w:val="000000"/>
              </w:rPr>
            </w:pPr>
            <w:r>
              <w:rPr>
                <w:b/>
                <w:color w:val="000000"/>
              </w:rPr>
              <w:t>Introduction à la notion des sous-cultures</w:t>
            </w:r>
            <w:r>
              <w:rPr>
                <w:color w:val="000000"/>
              </w:rPr>
              <w:t xml:space="preserve"> : Dans une suite logique, la personne enseignante introduit la notion de sous-culture en affichant trois exemples, à savoir : la culture populaire, la culture traditionnelle et la culture numérique </w:t>
            </w:r>
            <w:r>
              <w:rPr>
                <w:b/>
                <w:color w:val="2F5496"/>
              </w:rPr>
              <w:t>(Diapo 10)</w:t>
            </w:r>
            <w:r>
              <w:rPr>
                <w:color w:val="000000"/>
              </w:rPr>
              <w:t>.</w:t>
            </w:r>
            <w:r>
              <w:rPr>
                <w:b/>
                <w:color w:val="ED7D31"/>
              </w:rPr>
              <w:t xml:space="preserve"> </w:t>
            </w:r>
            <w:r>
              <w:rPr>
                <w:color w:val="000000"/>
              </w:rPr>
              <w:t xml:space="preserve">Le terme « sous-culture » ne sous-entend en aucun cas une hiérarchie de valeur entre les cultures. Il fait ici référence à un groupe ou une communauté au sein d'une culture plus large qui partage des normes, des valeurs, des comportements, des croyances ou des pratiques distincts qui les distinguent </w:t>
            </w:r>
            <w:r>
              <w:rPr>
                <w:color w:val="000000"/>
              </w:rPr>
              <w:t>des autres groupes au sein de cette même culture.</w:t>
            </w:r>
          </w:p>
          <w:p w14:paraId="46CF33CA" w14:textId="77777777" w:rsidR="002949A0" w:rsidRDefault="002949A0">
            <w:pPr>
              <w:pBdr>
                <w:top w:val="nil"/>
                <w:left w:val="nil"/>
                <w:bottom w:val="nil"/>
                <w:right w:val="nil"/>
                <w:between w:val="nil"/>
              </w:pBdr>
              <w:spacing w:after="0" w:line="240" w:lineRule="auto"/>
              <w:ind w:left="416"/>
              <w:rPr>
                <w:color w:val="000000"/>
              </w:rPr>
            </w:pPr>
          </w:p>
          <w:p w14:paraId="1602A853" w14:textId="77777777" w:rsidR="002949A0" w:rsidRDefault="00FD3544">
            <w:pPr>
              <w:numPr>
                <w:ilvl w:val="0"/>
                <w:numId w:val="2"/>
              </w:numPr>
              <w:pBdr>
                <w:top w:val="nil"/>
                <w:left w:val="nil"/>
                <w:bottom w:val="nil"/>
                <w:right w:val="nil"/>
                <w:between w:val="nil"/>
              </w:pBdr>
              <w:spacing w:after="0" w:line="240" w:lineRule="auto"/>
              <w:jc w:val="both"/>
              <w:rPr>
                <w:b/>
                <w:color w:val="000000"/>
              </w:rPr>
            </w:pPr>
            <w:r>
              <w:rPr>
                <w:b/>
                <w:color w:val="000000"/>
              </w:rPr>
              <w:lastRenderedPageBreak/>
              <w:t>Nommer les sous-cultures</w:t>
            </w:r>
            <w:r>
              <w:rPr>
                <w:color w:val="000000"/>
              </w:rPr>
              <w:t xml:space="preserve"> : La personne enseignante demande aux élèves de nommer toutes les sous-cultures qu’elles ou ils connaissent et inscrit les réponses au tableau. Ensuite, la personne enseignante leur demande de placer celles qui risquent de mieux s'harmoniser ensemble et celles qui risquent de moins bien s'harmoniser, en les divisant en deux catégories au tableau </w:t>
            </w:r>
            <w:r>
              <w:rPr>
                <w:b/>
                <w:color w:val="2F5496"/>
              </w:rPr>
              <w:t>(Diapo 11)</w:t>
            </w:r>
            <w:r>
              <w:rPr>
                <w:color w:val="000000"/>
              </w:rPr>
              <w:t xml:space="preserve">. </w:t>
            </w:r>
          </w:p>
          <w:p w14:paraId="7F0026C1" w14:textId="77777777" w:rsidR="002949A0" w:rsidRDefault="002949A0">
            <w:pPr>
              <w:pBdr>
                <w:top w:val="nil"/>
                <w:left w:val="nil"/>
                <w:bottom w:val="nil"/>
                <w:right w:val="nil"/>
                <w:between w:val="nil"/>
              </w:pBdr>
              <w:spacing w:after="0" w:line="240" w:lineRule="auto"/>
              <w:ind w:left="720"/>
              <w:rPr>
                <w:b/>
                <w:color w:val="000000"/>
                <w:sz w:val="24"/>
                <w:szCs w:val="24"/>
              </w:rPr>
            </w:pPr>
          </w:p>
          <w:p w14:paraId="5F6AC877"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Questions de réflexion</w:t>
            </w:r>
            <w:r>
              <w:rPr>
                <w:color w:val="000000"/>
              </w:rPr>
              <w:t xml:space="preserve"> : La personne enseignante termine le cours en posant les questions suivantes, sur lesquelles elle reviendra au prochain cours : « Que se passe-t-il lorsqu’on plante un arbre ou une fleur dans un nouveau milieu ? » et « peut-il arriver qu’on plante un arbre et que la terre semble moins appropriée pour lui ? »  La personne enseignante fait le parallèle entre les différentes cultures qui se côtoient et les relations entre les cultures et les institutions </w:t>
            </w:r>
            <w:r>
              <w:rPr>
                <w:b/>
                <w:color w:val="2F5496"/>
              </w:rPr>
              <w:t>(Diapo 12)</w:t>
            </w:r>
            <w:r>
              <w:rPr>
                <w:color w:val="000000"/>
              </w:rPr>
              <w:t>.</w:t>
            </w:r>
            <w:r>
              <w:rPr>
                <w:b/>
                <w:color w:val="ED7D31"/>
              </w:rPr>
              <w:t xml:space="preserve"> </w:t>
            </w:r>
            <w:r>
              <w:rPr>
                <w:i/>
                <w:color w:val="000000"/>
              </w:rPr>
              <w:t>Évidemment, tout cela se déroule dans une a</w:t>
            </w:r>
            <w:r>
              <w:rPr>
                <w:i/>
                <w:color w:val="000000"/>
              </w:rPr>
              <w:t>tmosphère de collégialité, encourageant des échanges harmonieux et constructifs.</w:t>
            </w:r>
            <w:r>
              <w:rPr>
                <w:b/>
                <w:color w:val="000000"/>
              </w:rPr>
              <w:t xml:space="preserve"> </w:t>
            </w:r>
          </w:p>
          <w:p w14:paraId="1E996070" w14:textId="77777777" w:rsidR="002949A0" w:rsidRDefault="002949A0">
            <w:pPr>
              <w:pBdr>
                <w:top w:val="nil"/>
                <w:left w:val="nil"/>
                <w:bottom w:val="nil"/>
                <w:right w:val="nil"/>
                <w:between w:val="nil"/>
              </w:pBdr>
              <w:spacing w:after="0" w:line="240" w:lineRule="auto"/>
              <w:jc w:val="both"/>
              <w:rPr>
                <w:color w:val="000000"/>
                <w:highlight w:val="yellow"/>
              </w:rPr>
            </w:pPr>
          </w:p>
        </w:tc>
      </w:tr>
      <w:tr w:rsidR="002949A0" w14:paraId="29D8D1CB" w14:textId="77777777">
        <w:trPr>
          <w:trHeight w:val="571"/>
        </w:trPr>
        <w:tc>
          <w:tcPr>
            <w:tcW w:w="10490" w:type="dxa"/>
            <w:tcBorders>
              <w:top w:val="single" w:sz="4" w:space="0" w:color="FFFFFF"/>
            </w:tcBorders>
            <w:shd w:val="clear" w:color="auto" w:fill="ECECEC"/>
            <w:vAlign w:val="center"/>
          </w:tcPr>
          <w:p w14:paraId="3A51E857" w14:textId="77777777" w:rsidR="002949A0" w:rsidRDefault="00FD3544">
            <w:pPr>
              <w:pBdr>
                <w:top w:val="nil"/>
                <w:left w:val="nil"/>
                <w:bottom w:val="nil"/>
                <w:right w:val="nil"/>
                <w:between w:val="nil"/>
              </w:pBdr>
              <w:shd w:val="clear" w:color="auto" w:fill="ECECEC"/>
              <w:spacing w:after="0" w:line="240" w:lineRule="auto"/>
              <w:jc w:val="center"/>
              <w:rPr>
                <w:b/>
                <w:color w:val="000000"/>
                <w:sz w:val="28"/>
                <w:szCs w:val="28"/>
              </w:rPr>
            </w:pPr>
            <w:r>
              <w:rPr>
                <w:b/>
                <w:color w:val="000000"/>
                <w:sz w:val="28"/>
                <w:szCs w:val="28"/>
              </w:rPr>
              <w:lastRenderedPageBreak/>
              <w:t xml:space="preserve">Cours 2 </w:t>
            </w:r>
          </w:p>
          <w:p w14:paraId="734B2872" w14:textId="77777777" w:rsidR="002949A0" w:rsidRDefault="002949A0">
            <w:pPr>
              <w:pBdr>
                <w:top w:val="nil"/>
                <w:left w:val="nil"/>
                <w:bottom w:val="nil"/>
                <w:right w:val="nil"/>
                <w:between w:val="nil"/>
              </w:pBdr>
              <w:shd w:val="clear" w:color="auto" w:fill="ECECEC"/>
              <w:spacing w:after="0" w:line="240" w:lineRule="auto"/>
              <w:jc w:val="center"/>
              <w:rPr>
                <w:b/>
                <w:color w:val="000000"/>
                <w:sz w:val="28"/>
                <w:szCs w:val="28"/>
              </w:rPr>
            </w:pPr>
          </w:p>
          <w:p w14:paraId="255B8B43" w14:textId="77777777" w:rsidR="002949A0" w:rsidRDefault="00FD3544">
            <w:pPr>
              <w:pBdr>
                <w:top w:val="nil"/>
                <w:left w:val="nil"/>
                <w:bottom w:val="nil"/>
                <w:right w:val="nil"/>
                <w:between w:val="nil"/>
              </w:pBdr>
              <w:shd w:val="clear" w:color="auto" w:fill="ECECEC"/>
              <w:jc w:val="center"/>
              <w:rPr>
                <w:b/>
                <w:color w:val="000000"/>
                <w:sz w:val="24"/>
                <w:szCs w:val="24"/>
              </w:rPr>
            </w:pPr>
            <w:r>
              <w:rPr>
                <w:b/>
                <w:color w:val="000000"/>
                <w:sz w:val="24"/>
                <w:szCs w:val="24"/>
              </w:rPr>
              <w:t xml:space="preserve">Support visuel : </w:t>
            </w:r>
            <w:hyperlink r:id="rId11">
              <w:r>
                <w:rPr>
                  <w:b/>
                  <w:color w:val="0563C1"/>
                  <w:sz w:val="24"/>
                  <w:szCs w:val="24"/>
                  <w:u w:val="single"/>
                </w:rPr>
                <w:t>Cultures et inégalités sous la loupe ! (genially.com)</w:t>
              </w:r>
            </w:hyperlink>
          </w:p>
          <w:p w14:paraId="43FA47E8" w14:textId="77777777" w:rsidR="002949A0" w:rsidRDefault="00FD3544">
            <w:pPr>
              <w:widowControl w:val="0"/>
              <w:pBdr>
                <w:top w:val="nil"/>
                <w:left w:val="nil"/>
                <w:bottom w:val="nil"/>
                <w:right w:val="nil"/>
                <w:between w:val="nil"/>
              </w:pBdr>
              <w:spacing w:after="0" w:line="240" w:lineRule="auto"/>
              <w:ind w:left="416"/>
              <w:jc w:val="center"/>
              <w:rPr>
                <w:color w:val="000000"/>
              </w:rPr>
            </w:pPr>
            <w:r>
              <w:rPr>
                <w:b/>
                <w:i/>
                <w:color w:val="FF0000"/>
                <w:sz w:val="20"/>
                <w:szCs w:val="20"/>
              </w:rPr>
              <w:t xml:space="preserve">Important : </w:t>
            </w:r>
            <w:r>
              <w:rPr>
                <w:i/>
                <w:color w:val="FF0000"/>
                <w:sz w:val="20"/>
                <w:szCs w:val="20"/>
              </w:rPr>
              <w:t xml:space="preserve">Vous devez cliquer sur l’icône « présenter », en haut à droite du </w:t>
            </w:r>
            <w:proofErr w:type="spellStart"/>
            <w:r>
              <w:rPr>
                <w:i/>
                <w:color w:val="FF0000"/>
                <w:sz w:val="20"/>
                <w:szCs w:val="20"/>
              </w:rPr>
              <w:t>Genially</w:t>
            </w:r>
            <w:proofErr w:type="spellEnd"/>
            <w:r>
              <w:rPr>
                <w:i/>
                <w:color w:val="FF0000"/>
                <w:sz w:val="20"/>
                <w:szCs w:val="20"/>
              </w:rPr>
              <w:t>, pour accéder au mode présentation et pouvoir cliquer sur les liens présentés dans celui-ci.</w:t>
            </w:r>
          </w:p>
          <w:p w14:paraId="73A55C74" w14:textId="77777777" w:rsidR="002949A0" w:rsidRDefault="002949A0">
            <w:pPr>
              <w:pBdr>
                <w:top w:val="nil"/>
                <w:left w:val="nil"/>
                <w:bottom w:val="nil"/>
                <w:right w:val="nil"/>
                <w:between w:val="nil"/>
              </w:pBdr>
              <w:shd w:val="clear" w:color="auto" w:fill="ECECEC"/>
              <w:spacing w:after="0" w:line="240" w:lineRule="auto"/>
              <w:jc w:val="center"/>
              <w:rPr>
                <w:b/>
                <w:color w:val="000000"/>
                <w:sz w:val="28"/>
                <w:szCs w:val="28"/>
              </w:rPr>
            </w:pPr>
          </w:p>
        </w:tc>
      </w:tr>
      <w:tr w:rsidR="002949A0" w14:paraId="0384045A" w14:textId="77777777">
        <w:trPr>
          <w:trHeight w:val="571"/>
        </w:trPr>
        <w:tc>
          <w:tcPr>
            <w:tcW w:w="10490" w:type="dxa"/>
            <w:tcBorders>
              <w:top w:val="single" w:sz="4" w:space="0" w:color="FFFFFF"/>
              <w:bottom w:val="single" w:sz="4" w:space="0" w:color="C9C9C9"/>
            </w:tcBorders>
            <w:shd w:val="clear" w:color="auto" w:fill="auto"/>
          </w:tcPr>
          <w:p w14:paraId="7DF511C3" w14:textId="77777777" w:rsidR="002949A0" w:rsidRDefault="002949A0">
            <w:pPr>
              <w:pBdr>
                <w:top w:val="nil"/>
                <w:left w:val="nil"/>
                <w:bottom w:val="nil"/>
                <w:right w:val="nil"/>
                <w:between w:val="nil"/>
              </w:pBdr>
              <w:spacing w:after="0"/>
              <w:ind w:left="416"/>
              <w:jc w:val="both"/>
              <w:rPr>
                <w:color w:val="000000"/>
              </w:rPr>
            </w:pPr>
          </w:p>
          <w:p w14:paraId="3DB76ECF" w14:textId="77777777" w:rsidR="002949A0" w:rsidRDefault="00FD3544">
            <w:pPr>
              <w:numPr>
                <w:ilvl w:val="0"/>
                <w:numId w:val="2"/>
              </w:numPr>
              <w:pBdr>
                <w:top w:val="nil"/>
                <w:left w:val="nil"/>
                <w:bottom w:val="nil"/>
                <w:right w:val="nil"/>
                <w:between w:val="nil"/>
              </w:pBdr>
              <w:spacing w:after="0"/>
              <w:jc w:val="both"/>
              <w:rPr>
                <w:color w:val="000000"/>
              </w:rPr>
            </w:pPr>
            <w:r>
              <w:rPr>
                <w:b/>
                <w:color w:val="000000"/>
              </w:rPr>
              <w:t>Élément déclencheur</w:t>
            </w:r>
            <w:r>
              <w:rPr>
                <w:color w:val="000000"/>
              </w:rPr>
              <w:t xml:space="preserve"> : La personne enseignante affiche au TNI (si souhaité) les deux affirmations suivantes : « l'école est un passeport vers la réussite » et « à l'école, l'égalité des chances n'existe pas » </w:t>
            </w:r>
            <w:r>
              <w:rPr>
                <w:b/>
                <w:color w:val="2F5496"/>
              </w:rPr>
              <w:t>(Diapo 14)</w:t>
            </w:r>
            <w:r>
              <w:rPr>
                <w:color w:val="000000"/>
              </w:rPr>
              <w:t xml:space="preserve">. </w:t>
            </w:r>
            <w:r>
              <w:rPr>
                <w:i/>
                <w:color w:val="000000"/>
              </w:rPr>
              <w:t>Ces affirmations invitent à réfléchir sur l'importance de l'éducation comme clé de la réussite sociale et sur les possibles défis liés à l'égalité des opportunités au sein du système éducatif</w:t>
            </w:r>
            <w:r>
              <w:rPr>
                <w:color w:val="000000"/>
              </w:rPr>
              <w:t xml:space="preserve">. </w:t>
            </w:r>
            <w:r>
              <w:rPr>
                <w:i/>
                <w:color w:val="000000"/>
              </w:rPr>
              <w:t>Elles ont</w:t>
            </w:r>
            <w:r>
              <w:rPr>
                <w:color w:val="000000"/>
              </w:rPr>
              <w:t xml:space="preserve"> </w:t>
            </w:r>
            <w:r>
              <w:rPr>
                <w:i/>
                <w:color w:val="000000"/>
              </w:rPr>
              <w:t xml:space="preserve">été sélectionnées pour illustrer différentes perspectives et inviter les élèves à réfléchir de manière critique, en encourageant une approche impartiale chez la personne enseignante.  </w:t>
            </w:r>
          </w:p>
          <w:p w14:paraId="4122D689" w14:textId="77777777" w:rsidR="002949A0" w:rsidRDefault="002949A0">
            <w:pPr>
              <w:spacing w:after="0"/>
              <w:ind w:left="714"/>
              <w:jc w:val="both"/>
            </w:pPr>
          </w:p>
          <w:p w14:paraId="708D2FB7" w14:textId="77777777" w:rsidR="002949A0" w:rsidRDefault="00FD3544">
            <w:pPr>
              <w:numPr>
                <w:ilvl w:val="0"/>
                <w:numId w:val="2"/>
              </w:numPr>
              <w:pBdr>
                <w:top w:val="nil"/>
                <w:left w:val="nil"/>
                <w:bottom w:val="nil"/>
                <w:right w:val="nil"/>
                <w:between w:val="nil"/>
              </w:pBdr>
              <w:spacing w:after="0"/>
              <w:jc w:val="both"/>
              <w:rPr>
                <w:color w:val="000000"/>
              </w:rPr>
            </w:pPr>
            <w:r>
              <w:rPr>
                <w:b/>
                <w:color w:val="000000"/>
              </w:rPr>
              <w:t>Explication de la C1</w:t>
            </w:r>
            <w:r>
              <w:rPr>
                <w:color w:val="000000"/>
              </w:rPr>
              <w:t xml:space="preserve"> : La personne enseignante écoute les réponses de la classe. Ensuite, elle explique qu’à partir de ce cours, les élèves vont devenir des </w:t>
            </w:r>
            <w:r>
              <w:rPr>
                <w:i/>
                <w:color w:val="000000"/>
              </w:rPr>
              <w:t>sociologues en herbe</w:t>
            </w:r>
            <w:r>
              <w:rPr>
                <w:color w:val="000000"/>
              </w:rPr>
              <w:t>, car l’ensemble de la classe comprend maintenant bien les concepts généraux de culture et de sous-culture. La personne enseignante fait un lien avec la compétence 1 (étudier des réalités culturelles), et utilise l’analogie des enquêteurs pour clarifier leur rôle de chercheurs des enjeux sociaux. Elle précise qu’ensemble il s’agira d’explorer les répons</w:t>
            </w:r>
            <w:r>
              <w:rPr>
                <w:color w:val="000000"/>
              </w:rPr>
              <w:t xml:space="preserve">es possibles à ces affirmations </w:t>
            </w:r>
            <w:r>
              <w:rPr>
                <w:color w:val="2F5496"/>
              </w:rPr>
              <w:t>(</w:t>
            </w:r>
            <w:r>
              <w:rPr>
                <w:b/>
                <w:color w:val="2F5496"/>
              </w:rPr>
              <w:t>Diapo 15</w:t>
            </w:r>
            <w:r>
              <w:rPr>
                <w:color w:val="2F5496"/>
              </w:rPr>
              <w:t>)</w:t>
            </w:r>
            <w:r>
              <w:rPr>
                <w:color w:val="000000"/>
              </w:rPr>
              <w:t>.</w:t>
            </w:r>
          </w:p>
          <w:p w14:paraId="736C7989" w14:textId="77777777" w:rsidR="002949A0" w:rsidRDefault="002949A0">
            <w:pPr>
              <w:spacing w:after="0"/>
              <w:jc w:val="both"/>
            </w:pPr>
          </w:p>
          <w:p w14:paraId="237F78EE" w14:textId="77777777" w:rsidR="002949A0" w:rsidRDefault="00FD3544">
            <w:pPr>
              <w:numPr>
                <w:ilvl w:val="0"/>
                <w:numId w:val="2"/>
              </w:numPr>
              <w:pBdr>
                <w:top w:val="nil"/>
                <w:left w:val="nil"/>
                <w:bottom w:val="nil"/>
                <w:right w:val="nil"/>
                <w:between w:val="nil"/>
              </w:pBdr>
              <w:spacing w:after="0"/>
              <w:jc w:val="both"/>
              <w:rPr>
                <w:color w:val="000000"/>
              </w:rPr>
            </w:pPr>
            <w:r>
              <w:rPr>
                <w:b/>
                <w:color w:val="000000"/>
              </w:rPr>
              <w:t>Récapitulatif</w:t>
            </w:r>
            <w:r>
              <w:rPr>
                <w:color w:val="000000"/>
              </w:rPr>
              <w:t xml:space="preserve"> : Faire un bref récapitulatif du cours précédent en réaffichant l’arbre de la culture de l’AFS au tableau </w:t>
            </w:r>
            <w:r>
              <w:rPr>
                <w:b/>
                <w:color w:val="2F5496"/>
              </w:rPr>
              <w:t>(Diapo 16).</w:t>
            </w:r>
          </w:p>
          <w:p w14:paraId="6C4EF52F" w14:textId="77777777" w:rsidR="002949A0" w:rsidRDefault="002949A0">
            <w:pPr>
              <w:spacing w:after="0"/>
              <w:jc w:val="both"/>
            </w:pPr>
          </w:p>
          <w:p w14:paraId="2C210B27" w14:textId="77777777" w:rsidR="002949A0" w:rsidRDefault="00FD3544">
            <w:pPr>
              <w:numPr>
                <w:ilvl w:val="0"/>
                <w:numId w:val="2"/>
              </w:numPr>
              <w:pBdr>
                <w:top w:val="nil"/>
                <w:left w:val="nil"/>
                <w:bottom w:val="nil"/>
                <w:right w:val="nil"/>
                <w:between w:val="nil"/>
              </w:pBdr>
              <w:spacing w:after="0"/>
              <w:jc w:val="both"/>
              <w:rPr>
                <w:color w:val="000000"/>
              </w:rPr>
            </w:pPr>
            <w:r>
              <w:rPr>
                <w:b/>
                <w:color w:val="000000"/>
              </w:rPr>
              <w:t>Réflexion sur les différences</w:t>
            </w:r>
            <w:r>
              <w:rPr>
                <w:color w:val="000000"/>
              </w:rPr>
              <w:t xml:space="preserve"> : Ensuite, la personne enseignante affiche un arbre entouré de plusieurs types de fleurs différentes et incite les élèves à réfléchir à la réalité différente de chaque personne en relation avec la terre (les institutions) </w:t>
            </w:r>
            <w:r>
              <w:rPr>
                <w:b/>
                <w:color w:val="2F5496"/>
              </w:rPr>
              <w:t>(Diapo 17)</w:t>
            </w:r>
            <w:r>
              <w:rPr>
                <w:color w:val="000000"/>
              </w:rPr>
              <w:t>.</w:t>
            </w:r>
            <w:r>
              <w:rPr>
                <w:b/>
                <w:color w:val="ED7D31"/>
              </w:rPr>
              <w:t xml:space="preserve"> </w:t>
            </w:r>
            <w:r>
              <w:rPr>
                <w:color w:val="000000"/>
              </w:rPr>
              <w:t xml:space="preserve">La personne enseignante invite les élèves à discuter de l’image présentée et à partager leurs observations du quotidien (dans l'autobus, à l'école, etc.) pour explorer les similitudes et différences dans leurs expériences. Elle utilise l'exemple de la culture autochtone pour illustrer comment les réalités peuvent diverger selon les contextes, soulignant ainsi l'importance de reconnaître ces diverses </w:t>
            </w:r>
            <w:r>
              <w:rPr>
                <w:color w:val="000000"/>
              </w:rPr>
              <w:lastRenderedPageBreak/>
              <w:t xml:space="preserve">perspectives. Il est également essentiel de rappeler que, bien que les cultures autochtones soient parmi les </w:t>
            </w:r>
            <w:r>
              <w:rPr>
                <w:color w:val="000000"/>
              </w:rPr>
              <w:t xml:space="preserve">plus anciennes, elles n'ont pas toujours reçu la reconnaissance et la légitimation qu'elles méritent au sein des sociétés dominantes, notamment au Canada. </w:t>
            </w:r>
          </w:p>
          <w:p w14:paraId="0AB5B369" w14:textId="77777777" w:rsidR="002949A0" w:rsidRDefault="002949A0">
            <w:pPr>
              <w:pBdr>
                <w:top w:val="nil"/>
                <w:left w:val="nil"/>
                <w:bottom w:val="nil"/>
                <w:right w:val="nil"/>
                <w:between w:val="nil"/>
              </w:pBdr>
              <w:spacing w:after="0"/>
              <w:ind w:left="720"/>
              <w:rPr>
                <w:color w:val="000000"/>
              </w:rPr>
            </w:pPr>
          </w:p>
          <w:p w14:paraId="77B06742" w14:textId="77777777" w:rsidR="002949A0" w:rsidRDefault="00FD3544">
            <w:pPr>
              <w:numPr>
                <w:ilvl w:val="0"/>
                <w:numId w:val="2"/>
              </w:numPr>
              <w:pBdr>
                <w:top w:val="nil"/>
                <w:left w:val="nil"/>
                <w:bottom w:val="nil"/>
                <w:right w:val="nil"/>
                <w:between w:val="nil"/>
              </w:pBdr>
              <w:spacing w:after="0"/>
              <w:jc w:val="both"/>
              <w:rPr>
                <w:color w:val="000000"/>
              </w:rPr>
            </w:pPr>
            <w:r>
              <w:rPr>
                <w:b/>
                <w:color w:val="000000"/>
              </w:rPr>
              <w:t>Réforme du cours d’histoire :</w:t>
            </w:r>
            <w:r>
              <w:rPr>
                <w:color w:val="000000"/>
              </w:rPr>
              <w:t xml:space="preserve"> Avant d’aborder le concept de culture dominante, la personne enseignante cite l'exemple de la demande de réforme de l'enseignement de l'histoire autochtone au Québec</w:t>
            </w:r>
            <w:r>
              <w:rPr>
                <w:color w:val="000000"/>
                <w:vertAlign w:val="superscript"/>
              </w:rPr>
              <w:footnoteReference w:id="4"/>
            </w:r>
            <w:r>
              <w:rPr>
                <w:color w:val="000000"/>
              </w:rPr>
              <w:t xml:space="preserve"> pour illustrer comment les contenus éducatifs peuvent refléter ou omettre certaines perspectives culturelles. Elle établit un parallèle entre cette situation et la manière dont les cultures autochtones sont représentées ou ignorées dans les institutions scolaires.</w:t>
            </w:r>
            <w:r>
              <w:rPr>
                <w:b/>
                <w:color w:val="000000"/>
              </w:rPr>
              <w:t xml:space="preserve"> </w:t>
            </w:r>
            <w:r>
              <w:rPr>
                <w:b/>
                <w:color w:val="2F5496"/>
              </w:rPr>
              <w:t>(Diapo 18)</w:t>
            </w:r>
            <w:r>
              <w:rPr>
                <w:color w:val="2F5496"/>
              </w:rPr>
              <w:t>.</w:t>
            </w:r>
          </w:p>
          <w:p w14:paraId="45763DF2" w14:textId="77777777" w:rsidR="002949A0" w:rsidRDefault="002949A0">
            <w:pPr>
              <w:pBdr>
                <w:top w:val="nil"/>
                <w:left w:val="nil"/>
                <w:bottom w:val="nil"/>
                <w:right w:val="nil"/>
                <w:between w:val="nil"/>
              </w:pBdr>
              <w:spacing w:after="0"/>
              <w:ind w:left="720"/>
              <w:jc w:val="both"/>
              <w:rPr>
                <w:color w:val="000000"/>
              </w:rPr>
            </w:pPr>
          </w:p>
          <w:p w14:paraId="64334733"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 xml:space="preserve">Activité au TNI : </w:t>
            </w:r>
            <w:r>
              <w:rPr>
                <w:color w:val="000000"/>
              </w:rPr>
              <w:t xml:space="preserve">La personne enseignante poursuit en approfondissant le concept de culture dominante </w:t>
            </w:r>
            <w:r>
              <w:rPr>
                <w:b/>
                <w:color w:val="2F5496"/>
              </w:rPr>
              <w:t>(Diapo 19).</w:t>
            </w:r>
            <w:r>
              <w:rPr>
                <w:color w:val="2F5496"/>
              </w:rPr>
              <w:t xml:space="preserve"> </w:t>
            </w:r>
            <w:r>
              <w:rPr>
                <w:color w:val="000000"/>
              </w:rPr>
              <w:t xml:space="preserve">Pour familiariser les élèves avec ce concept, elle affiche au TNI différents types de personnes : des personnes sportives, des punks, des personnes âgées, et demande aux élèves de réfléchir à quel groupe serait le plus susceptible de bien s’intégrer parmi les « cools » du camp de vacances, qui sont eux-mêmes des sportifs </w:t>
            </w:r>
            <w:r>
              <w:rPr>
                <w:b/>
                <w:color w:val="2F5496"/>
              </w:rPr>
              <w:t>(Diapo 20)</w:t>
            </w:r>
            <w:r>
              <w:rPr>
                <w:b/>
                <w:color w:val="000000"/>
              </w:rPr>
              <w:t>.</w:t>
            </w:r>
            <w:r>
              <w:rPr>
                <w:color w:val="000000"/>
              </w:rPr>
              <w:t xml:space="preserve"> </w:t>
            </w:r>
          </w:p>
          <w:p w14:paraId="1E3F6B03" w14:textId="77777777" w:rsidR="002949A0" w:rsidRDefault="002949A0">
            <w:pPr>
              <w:pBdr>
                <w:top w:val="nil"/>
                <w:left w:val="nil"/>
                <w:bottom w:val="nil"/>
                <w:right w:val="nil"/>
                <w:between w:val="nil"/>
              </w:pBdr>
              <w:spacing w:after="0"/>
              <w:ind w:left="720"/>
              <w:jc w:val="both"/>
              <w:rPr>
                <w:color w:val="000000"/>
              </w:rPr>
            </w:pPr>
          </w:p>
          <w:p w14:paraId="01F912C2" w14:textId="77777777" w:rsidR="002949A0" w:rsidRDefault="00FD3544">
            <w:pPr>
              <w:numPr>
                <w:ilvl w:val="0"/>
                <w:numId w:val="2"/>
              </w:numPr>
              <w:pBdr>
                <w:top w:val="nil"/>
                <w:left w:val="nil"/>
                <w:bottom w:val="nil"/>
                <w:right w:val="nil"/>
                <w:between w:val="nil"/>
              </w:pBdr>
              <w:spacing w:after="0" w:line="240" w:lineRule="auto"/>
              <w:jc w:val="both"/>
              <w:rPr>
                <w:i/>
                <w:color w:val="000000"/>
              </w:rPr>
            </w:pPr>
            <w:r>
              <w:rPr>
                <w:b/>
                <w:color w:val="000000"/>
              </w:rPr>
              <w:t>Suite de l’activité</w:t>
            </w:r>
            <w:r>
              <w:rPr>
                <w:color w:val="000000"/>
              </w:rPr>
              <w:t xml:space="preserve"> : Dans le même ordre d'idées, la personne enseignante affiche des images de personnes sportives appartenant à la même sous-culture, en ajoutant verbalement des caractéristiques distinctives pour chacune. Elle pose ensuite la question suivante : « Quel individu est le plus susceptible de s’intégrer au groupe sportif considéré comme « cool » ? » </w:t>
            </w:r>
            <w:r>
              <w:rPr>
                <w:b/>
                <w:color w:val="2F5496"/>
              </w:rPr>
              <w:t>(Diapo 21)</w:t>
            </w:r>
            <w:r>
              <w:rPr>
                <w:color w:val="000000"/>
              </w:rPr>
              <w:t xml:space="preserve">. </w:t>
            </w:r>
            <w:r>
              <w:rPr>
                <w:i/>
                <w:color w:val="000000"/>
              </w:rPr>
              <w:t>Cette démarche permet de montrer aux élèves que, même au sein d'un même groupe, certains éléments peuvent influencer l'intégration d'une personne. En par</w:t>
            </w:r>
            <w:r>
              <w:rPr>
                <w:i/>
                <w:color w:val="000000"/>
              </w:rPr>
              <w:t>allèle, elle illustre comment les subtilités culturelles et sociales, telles que le genre, peuvent interagir et créer des barrières à l'intégration.</w:t>
            </w:r>
          </w:p>
          <w:p w14:paraId="4B514696" w14:textId="77777777" w:rsidR="002949A0" w:rsidRDefault="002949A0">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80DC57C"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Explication du concept de capital culturel :</w:t>
            </w:r>
            <w:r>
              <w:rPr>
                <w:color w:val="000000"/>
              </w:rPr>
              <w:t xml:space="preserve"> La personne enseignante introduit la classe au concept de </w:t>
            </w:r>
            <w:r>
              <w:rPr>
                <w:i/>
                <w:color w:val="000000"/>
              </w:rPr>
              <w:t>capital culturel</w:t>
            </w:r>
            <w:r>
              <w:rPr>
                <w:color w:val="000000"/>
              </w:rPr>
              <w:t xml:space="preserve"> développé par le sociologue Pierre Bourdieu</w:t>
            </w:r>
            <w:r>
              <w:rPr>
                <w:color w:val="000000"/>
                <w:vertAlign w:val="superscript"/>
              </w:rPr>
              <w:footnoteReference w:id="5"/>
            </w:r>
            <w:r>
              <w:rPr>
                <w:color w:val="000000"/>
              </w:rPr>
              <w:t xml:space="preserve">, et décortique le terme au tableau avec les élèves afin de mieux le comprendre </w:t>
            </w:r>
            <w:r>
              <w:rPr>
                <w:b/>
                <w:color w:val="2F5496"/>
              </w:rPr>
              <w:t>(Diapo 22)</w:t>
            </w:r>
            <w:r>
              <w:rPr>
                <w:color w:val="2F5496"/>
              </w:rPr>
              <w:t xml:space="preserve">. </w:t>
            </w:r>
          </w:p>
          <w:p w14:paraId="135DDA20" w14:textId="77777777" w:rsidR="002949A0" w:rsidRDefault="002949A0">
            <w:pPr>
              <w:pBdr>
                <w:top w:val="nil"/>
                <w:left w:val="nil"/>
                <w:bottom w:val="nil"/>
                <w:right w:val="nil"/>
                <w:between w:val="nil"/>
              </w:pBdr>
              <w:spacing w:after="0"/>
              <w:ind w:left="720"/>
              <w:rPr>
                <w:color w:val="000000"/>
              </w:rPr>
            </w:pPr>
          </w:p>
          <w:p w14:paraId="1285BA52" w14:textId="77777777" w:rsidR="002949A0" w:rsidRDefault="00FD3544">
            <w:pPr>
              <w:pBdr>
                <w:top w:val="nil"/>
                <w:left w:val="nil"/>
                <w:bottom w:val="nil"/>
                <w:right w:val="nil"/>
                <w:between w:val="nil"/>
              </w:pBdr>
              <w:spacing w:after="0"/>
              <w:ind w:left="416"/>
              <w:jc w:val="both"/>
              <w:rPr>
                <w:i/>
                <w:color w:val="000000"/>
              </w:rPr>
            </w:pPr>
            <w:r>
              <w:rPr>
                <w:b/>
                <w:color w:val="000000"/>
              </w:rPr>
              <w:t xml:space="preserve">Vidéo explicative : </w:t>
            </w:r>
            <w:r>
              <w:rPr>
                <w:color w:val="000000"/>
              </w:rPr>
              <w:t>Par souci de clarté et d'authenticité, la personne enseignante présente une vidéo explicative</w:t>
            </w:r>
            <w:r>
              <w:rPr>
                <w:color w:val="000000"/>
                <w:vertAlign w:val="superscript"/>
              </w:rPr>
              <w:footnoteReference w:id="6"/>
            </w:r>
            <w:r>
              <w:rPr>
                <w:color w:val="000000"/>
              </w:rPr>
              <w:t xml:space="preserve"> de 2 :21 minutes, réalisée par le sociologue lui-même, Pierre Bourdieu, théoricien du concept de capital culturel </w:t>
            </w:r>
            <w:r>
              <w:rPr>
                <w:b/>
                <w:color w:val="2F5496"/>
              </w:rPr>
              <w:t xml:space="preserve">(Diapo 23). </w:t>
            </w:r>
            <w:r>
              <w:rPr>
                <w:i/>
                <w:color w:val="000000"/>
              </w:rPr>
              <w:t>Il est à noter que la personne enseignante peut décider de présenter seulement un court extrait si elle estime qu'il est suffisamment explicatif, plutôt que de diffuser la vidéo entière.</w:t>
            </w:r>
          </w:p>
          <w:p w14:paraId="2F499436" w14:textId="77777777" w:rsidR="002949A0" w:rsidRDefault="002949A0">
            <w:pPr>
              <w:pBdr>
                <w:top w:val="nil"/>
                <w:left w:val="nil"/>
                <w:bottom w:val="nil"/>
                <w:right w:val="nil"/>
                <w:between w:val="nil"/>
              </w:pBdr>
              <w:spacing w:after="0"/>
              <w:ind w:left="416"/>
              <w:jc w:val="both"/>
              <w:rPr>
                <w:color w:val="000000"/>
              </w:rPr>
            </w:pPr>
          </w:p>
          <w:p w14:paraId="34C7ACD7" w14:textId="77777777" w:rsidR="002949A0" w:rsidRPr="002052E0" w:rsidRDefault="00FD3544">
            <w:pPr>
              <w:numPr>
                <w:ilvl w:val="0"/>
                <w:numId w:val="2"/>
              </w:numPr>
              <w:pBdr>
                <w:top w:val="nil"/>
                <w:left w:val="nil"/>
                <w:bottom w:val="nil"/>
                <w:right w:val="nil"/>
                <w:between w:val="nil"/>
              </w:pBdr>
              <w:spacing w:after="0"/>
              <w:jc w:val="both"/>
            </w:pPr>
            <w:r>
              <w:rPr>
                <w:b/>
                <w:color w:val="000000"/>
              </w:rPr>
              <w:t xml:space="preserve">Résumé : </w:t>
            </w:r>
            <w:r>
              <w:rPr>
                <w:color w:val="000000"/>
              </w:rPr>
              <w:t xml:space="preserve">La personne enseignante synthétise et vulgarise la pensée de Bourdieu afin que l'ensemble de la classe comprenne l'essentiel : les individus et les groupes accumulent différents types de ressources, comme l'argent, le savoir et les relations sociales. Ces éléments peuvent influencer leur position dans la société et leur accès à diverses opportunités. Ces ressources sont régulées par la culture dominante, ce qui contribue à </w:t>
            </w:r>
            <w:r>
              <w:rPr>
                <w:color w:val="000000"/>
              </w:rPr>
              <w:lastRenderedPageBreak/>
              <w:t>maintenir les groupes sociaux déjà favorisés en position de pouvoir. La culture domin</w:t>
            </w:r>
            <w:r>
              <w:rPr>
                <w:color w:val="000000"/>
              </w:rPr>
              <w:t xml:space="preserve">ante est souvent perçue comme universelle et légitime. </w:t>
            </w:r>
          </w:p>
          <w:p w14:paraId="65842877" w14:textId="77777777" w:rsidR="002052E0" w:rsidRDefault="002052E0" w:rsidP="002052E0">
            <w:pPr>
              <w:pBdr>
                <w:top w:val="nil"/>
                <w:left w:val="nil"/>
                <w:bottom w:val="nil"/>
                <w:right w:val="nil"/>
                <w:between w:val="nil"/>
              </w:pBdr>
              <w:spacing w:after="0"/>
              <w:ind w:left="416"/>
              <w:jc w:val="both"/>
            </w:pPr>
          </w:p>
          <w:p w14:paraId="6B3E8A0C" w14:textId="77777777" w:rsidR="002949A0" w:rsidRDefault="00FD3544">
            <w:pPr>
              <w:numPr>
                <w:ilvl w:val="0"/>
                <w:numId w:val="2"/>
              </w:numPr>
              <w:pBdr>
                <w:top w:val="nil"/>
                <w:left w:val="nil"/>
                <w:bottom w:val="nil"/>
                <w:right w:val="nil"/>
                <w:between w:val="nil"/>
              </w:pBdr>
              <w:spacing w:after="0"/>
              <w:jc w:val="both"/>
            </w:pPr>
            <w:r>
              <w:rPr>
                <w:color w:val="000000"/>
              </w:rPr>
              <w:t xml:space="preserve">Revenir sur l’exemple de la culture scolaire et l'enseignement de l'histoire des peuples autochtones dans les programmes scolaires. </w:t>
            </w:r>
            <w:r>
              <w:rPr>
                <w:i/>
                <w:color w:val="000000"/>
              </w:rPr>
              <w:t>Qui décide des contenus à enseigner ?</w:t>
            </w:r>
          </w:p>
          <w:p w14:paraId="5942D54F" w14:textId="77777777" w:rsidR="002949A0" w:rsidRDefault="002949A0">
            <w:pPr>
              <w:pBdr>
                <w:top w:val="nil"/>
                <w:left w:val="nil"/>
                <w:bottom w:val="nil"/>
                <w:right w:val="nil"/>
                <w:between w:val="nil"/>
              </w:pBdr>
              <w:spacing w:after="0"/>
              <w:ind w:left="416"/>
              <w:jc w:val="both"/>
              <w:rPr>
                <w:color w:val="000000"/>
              </w:rPr>
            </w:pPr>
          </w:p>
          <w:p w14:paraId="73FE27B7"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Calcul du capital culturel</w:t>
            </w:r>
            <w:r>
              <w:rPr>
                <w:color w:val="000000"/>
              </w:rPr>
              <w:t> : La personne enseignante poursuit en expliquant comment calculer le capital culturel d’une personne, encore selon la théorie présentée</w:t>
            </w:r>
            <w:r>
              <w:rPr>
                <w:color w:val="000000"/>
                <w:vertAlign w:val="superscript"/>
              </w:rPr>
              <w:footnoteReference w:id="7"/>
            </w:r>
            <w:r>
              <w:rPr>
                <w:color w:val="000000"/>
              </w:rPr>
              <w:t xml:space="preserve">. Elle affiche les trois mesures du capital: les savoirs que possède une personne, ses biens culturels, et ses compétences académiques </w:t>
            </w:r>
            <w:r>
              <w:rPr>
                <w:b/>
                <w:color w:val="2F5496"/>
              </w:rPr>
              <w:t>(Diapo 24)</w:t>
            </w:r>
            <w:r>
              <w:rPr>
                <w:color w:val="2F5496"/>
              </w:rPr>
              <w:t>.</w:t>
            </w:r>
            <w:r>
              <w:rPr>
                <w:b/>
                <w:color w:val="C55911"/>
              </w:rPr>
              <w:t xml:space="preserve"> </w:t>
            </w:r>
            <w:r>
              <w:rPr>
                <w:color w:val="000000"/>
              </w:rPr>
              <w:t xml:space="preserve">Dans cette diapositive, les « GIFS » A et B illustrent deux personnes hypothétiques ayant des niveaux différents de capital culturel. </w:t>
            </w:r>
          </w:p>
          <w:p w14:paraId="78468685" w14:textId="77777777" w:rsidR="002949A0" w:rsidRDefault="002949A0">
            <w:pPr>
              <w:pBdr>
                <w:top w:val="nil"/>
                <w:left w:val="nil"/>
                <w:bottom w:val="nil"/>
                <w:right w:val="nil"/>
                <w:between w:val="nil"/>
              </w:pBdr>
              <w:spacing w:after="0"/>
              <w:ind w:left="720"/>
              <w:jc w:val="both"/>
              <w:rPr>
                <w:color w:val="000000"/>
              </w:rPr>
            </w:pPr>
          </w:p>
          <w:p w14:paraId="44A3A403" w14:textId="77777777" w:rsidR="002949A0" w:rsidRDefault="00FD3544">
            <w:pPr>
              <w:numPr>
                <w:ilvl w:val="0"/>
                <w:numId w:val="2"/>
              </w:numPr>
              <w:pBdr>
                <w:top w:val="nil"/>
                <w:left w:val="nil"/>
                <w:bottom w:val="nil"/>
                <w:right w:val="nil"/>
                <w:between w:val="nil"/>
              </w:pBdr>
              <w:spacing w:after="0" w:line="240" w:lineRule="auto"/>
              <w:jc w:val="both"/>
              <w:rPr>
                <w:color w:val="000000"/>
              </w:rPr>
            </w:pPr>
            <w:r>
              <w:rPr>
                <w:b/>
                <w:color w:val="000000"/>
              </w:rPr>
              <w:t>Réflexion</w:t>
            </w:r>
            <w:r>
              <w:rPr>
                <w:color w:val="000000"/>
              </w:rPr>
              <w:t xml:space="preserve"> : Après avoir présenté cette théorie, la personne enseignante revient sur la discussion concernant la culture dominante. Elle explique que le calcul du capital culturel se base sur les critères de la culture dominante : les savoirs, les œuvres culturelles et les compétences académiques valorisées par celle-ci. Elle invite à une réflexion commune sur les cultures et les savoirs qui sont davantage valorisés dans notre société </w:t>
            </w:r>
            <w:r>
              <w:rPr>
                <w:b/>
                <w:color w:val="2F5496"/>
              </w:rPr>
              <w:t>(Diapo 25)</w:t>
            </w:r>
            <w:r>
              <w:rPr>
                <w:color w:val="2F5496"/>
              </w:rPr>
              <w:t xml:space="preserve">. </w:t>
            </w:r>
          </w:p>
          <w:p w14:paraId="54D7DF21" w14:textId="77777777" w:rsidR="002949A0" w:rsidRDefault="002949A0">
            <w:pPr>
              <w:pBdr>
                <w:top w:val="nil"/>
                <w:left w:val="nil"/>
                <w:bottom w:val="nil"/>
                <w:right w:val="nil"/>
                <w:between w:val="nil"/>
              </w:pBdr>
              <w:spacing w:after="0"/>
              <w:ind w:left="720"/>
              <w:jc w:val="both"/>
              <w:rPr>
                <w:color w:val="000000"/>
              </w:rPr>
            </w:pPr>
          </w:p>
          <w:p w14:paraId="7897DF3C" w14:textId="77777777" w:rsidR="002949A0" w:rsidRDefault="00FD3544">
            <w:pPr>
              <w:pStyle w:val="Titre4"/>
              <w:numPr>
                <w:ilvl w:val="0"/>
                <w:numId w:val="2"/>
              </w:numPr>
              <w:spacing w:before="0" w:after="0"/>
              <w:jc w:val="both"/>
              <w:rPr>
                <w:b w:val="0"/>
                <w:sz w:val="22"/>
                <w:szCs w:val="22"/>
              </w:rPr>
            </w:pPr>
            <w:r>
              <w:rPr>
                <w:sz w:val="22"/>
                <w:szCs w:val="22"/>
              </w:rPr>
              <w:t xml:space="preserve">Citations et analyse : </w:t>
            </w:r>
            <w:r>
              <w:rPr>
                <w:b w:val="0"/>
                <w:sz w:val="22"/>
                <w:szCs w:val="22"/>
              </w:rPr>
              <w:t>Afin de s’assurer de la compréhension des élèves,</w:t>
            </w:r>
            <w:r>
              <w:rPr>
                <w:sz w:val="22"/>
                <w:szCs w:val="22"/>
              </w:rPr>
              <w:t xml:space="preserve"> </w:t>
            </w:r>
            <w:r>
              <w:rPr>
                <w:b w:val="0"/>
                <w:sz w:val="22"/>
                <w:szCs w:val="22"/>
              </w:rPr>
              <w:t xml:space="preserve">la personne enseignante réaffiche au TNI les deux affirmations présentées plus tôt </w:t>
            </w:r>
            <w:r>
              <w:rPr>
                <w:color w:val="2F5496"/>
                <w:sz w:val="22"/>
                <w:szCs w:val="22"/>
              </w:rPr>
              <w:t>(Diapo 26)</w:t>
            </w:r>
            <w:r>
              <w:rPr>
                <w:b w:val="0"/>
                <w:color w:val="ED7D31"/>
                <w:sz w:val="22"/>
                <w:szCs w:val="22"/>
              </w:rPr>
              <w:t xml:space="preserve"> </w:t>
            </w:r>
            <w:r>
              <w:rPr>
                <w:b w:val="0"/>
                <w:sz w:val="22"/>
                <w:szCs w:val="22"/>
              </w:rPr>
              <w:t xml:space="preserve">et demande aux élèves : « quelle affirmation est celle à laquelle Bourdieu adhère le plus ? » </w:t>
            </w:r>
          </w:p>
          <w:p w14:paraId="6AF0FCF1" w14:textId="77777777" w:rsidR="002052E0" w:rsidRPr="002052E0" w:rsidRDefault="002052E0" w:rsidP="002052E0">
            <w:pPr>
              <w:pStyle w:val="Titre4"/>
              <w:spacing w:before="0" w:after="0"/>
              <w:ind w:left="416"/>
              <w:jc w:val="both"/>
              <w:rPr>
                <w:b w:val="0"/>
                <w:sz w:val="22"/>
                <w:szCs w:val="22"/>
              </w:rPr>
            </w:pPr>
          </w:p>
          <w:p w14:paraId="05C16219" w14:textId="272CDD20" w:rsidR="002949A0" w:rsidRPr="002052E0" w:rsidRDefault="00FD3544" w:rsidP="002052E0">
            <w:pPr>
              <w:pStyle w:val="Titre4"/>
              <w:numPr>
                <w:ilvl w:val="0"/>
                <w:numId w:val="2"/>
              </w:numPr>
              <w:spacing w:before="0" w:after="0"/>
              <w:jc w:val="both"/>
              <w:rPr>
                <w:b w:val="0"/>
                <w:sz w:val="22"/>
                <w:szCs w:val="22"/>
              </w:rPr>
            </w:pPr>
            <w:r>
              <w:rPr>
                <w:sz w:val="22"/>
                <w:szCs w:val="22"/>
              </w:rPr>
              <w:t>Études de cas :</w:t>
            </w:r>
            <w:r>
              <w:rPr>
                <w:b w:val="0"/>
                <w:sz w:val="22"/>
                <w:szCs w:val="22"/>
              </w:rPr>
              <w:t xml:space="preserve">  La personne enseignante examine les études de cas avec les élèves et les invite </w:t>
            </w:r>
            <w:r>
              <w:rPr>
                <w:color w:val="2F5496"/>
                <w:sz w:val="22"/>
                <w:szCs w:val="22"/>
              </w:rPr>
              <w:t>(Diapos 28 à 31)</w:t>
            </w:r>
            <w:r>
              <w:rPr>
                <w:b w:val="0"/>
                <w:sz w:val="22"/>
                <w:szCs w:val="22"/>
              </w:rPr>
              <w:t xml:space="preserve"> à analyser les inégalités associées au capital culturel. Cet exercice en grand groupe favorise des discussions enrichissantes avec les élèves. Vous pouvez utiliser les questions présentées aux diapositives </w:t>
            </w:r>
            <w:r>
              <w:rPr>
                <w:color w:val="2F5496"/>
                <w:sz w:val="22"/>
                <w:szCs w:val="22"/>
              </w:rPr>
              <w:t>29 et 31</w:t>
            </w:r>
            <w:r>
              <w:rPr>
                <w:b w:val="0"/>
                <w:color w:val="2F5496"/>
                <w:sz w:val="22"/>
                <w:szCs w:val="22"/>
              </w:rPr>
              <w:t xml:space="preserve"> </w:t>
            </w:r>
            <w:r>
              <w:rPr>
                <w:b w:val="0"/>
                <w:sz w:val="22"/>
                <w:szCs w:val="22"/>
              </w:rPr>
              <w:t>comme guide ou adapter la discussion en fonction des intérêts des élèves.</w:t>
            </w:r>
          </w:p>
          <w:p w14:paraId="5203ACF0" w14:textId="77777777" w:rsidR="002052E0" w:rsidRDefault="002052E0" w:rsidP="002052E0">
            <w:pPr>
              <w:pStyle w:val="Titre4"/>
              <w:spacing w:before="0" w:after="0"/>
              <w:ind w:left="416"/>
              <w:jc w:val="both"/>
              <w:rPr>
                <w:sz w:val="22"/>
                <w:szCs w:val="22"/>
              </w:rPr>
            </w:pPr>
          </w:p>
          <w:p w14:paraId="66DCFD58" w14:textId="7F2BE52B" w:rsidR="002949A0" w:rsidRDefault="00FD3544">
            <w:pPr>
              <w:pStyle w:val="Titre4"/>
              <w:numPr>
                <w:ilvl w:val="0"/>
                <w:numId w:val="2"/>
              </w:numPr>
              <w:spacing w:before="0" w:after="0"/>
              <w:jc w:val="both"/>
              <w:rPr>
                <w:sz w:val="22"/>
                <w:szCs w:val="22"/>
              </w:rPr>
            </w:pPr>
            <w:r>
              <w:rPr>
                <w:sz w:val="22"/>
                <w:szCs w:val="22"/>
              </w:rPr>
              <w:t>A</w:t>
            </w:r>
            <w:r>
              <w:rPr>
                <w:sz w:val="22"/>
                <w:szCs w:val="22"/>
              </w:rPr>
              <w:t>ctivité participative </w:t>
            </w:r>
            <w:r>
              <w:rPr>
                <w:b w:val="0"/>
                <w:sz w:val="22"/>
                <w:szCs w:val="22"/>
              </w:rPr>
              <w:t xml:space="preserve">: Pour sceller les apprentissages complexes de manière plus participative, la personne enseignante lance un </w:t>
            </w:r>
            <w:proofErr w:type="spellStart"/>
            <w:r>
              <w:rPr>
                <w:b w:val="0"/>
                <w:sz w:val="22"/>
                <w:szCs w:val="22"/>
              </w:rPr>
              <w:t>Kahoot</w:t>
            </w:r>
            <w:proofErr w:type="spellEnd"/>
            <w:r>
              <w:rPr>
                <w:b w:val="0"/>
                <w:sz w:val="22"/>
                <w:szCs w:val="22"/>
              </w:rPr>
              <w:t xml:space="preserve">!, pour le plus grand plaisir de la classe ! </w:t>
            </w:r>
            <w:r>
              <w:rPr>
                <w:color w:val="2F5496"/>
                <w:sz w:val="22"/>
                <w:szCs w:val="22"/>
              </w:rPr>
              <w:t xml:space="preserve">(Diapo 32) </w:t>
            </w:r>
            <w:r w:rsidRPr="002052E0">
              <w:rPr>
                <w:b w:val="0"/>
                <w:bCs/>
                <w:sz w:val="22"/>
                <w:szCs w:val="22"/>
              </w:rPr>
              <w:t>ou par le lien suivant :</w:t>
            </w:r>
            <w:r w:rsidRPr="002052E0">
              <w:rPr>
                <w:sz w:val="22"/>
                <w:szCs w:val="22"/>
              </w:rPr>
              <w:t xml:space="preserve"> </w:t>
            </w:r>
            <w:hyperlink r:id="rId12">
              <w:r>
                <w:rPr>
                  <w:color w:val="0563C1"/>
                  <w:sz w:val="22"/>
                  <w:szCs w:val="22"/>
                  <w:u w:val="single"/>
                </w:rPr>
                <w:t xml:space="preserve">Préparation du </w:t>
              </w:r>
              <w:proofErr w:type="spellStart"/>
              <w:r>
                <w:rPr>
                  <w:color w:val="0563C1"/>
                  <w:sz w:val="22"/>
                  <w:szCs w:val="22"/>
                  <w:u w:val="single"/>
                </w:rPr>
                <w:t>kahoot</w:t>
              </w:r>
              <w:proofErr w:type="spellEnd"/>
              <w:r>
                <w:rPr>
                  <w:color w:val="0563C1"/>
                  <w:sz w:val="22"/>
                  <w:szCs w:val="22"/>
                  <w:u w:val="single"/>
                </w:rPr>
                <w:t xml:space="preserve"> en cours - </w:t>
              </w:r>
              <w:proofErr w:type="spellStart"/>
              <w:r>
                <w:rPr>
                  <w:color w:val="0563C1"/>
                  <w:sz w:val="22"/>
                  <w:szCs w:val="22"/>
                  <w:u w:val="single"/>
                </w:rPr>
                <w:t>Kahoot</w:t>
              </w:r>
              <w:proofErr w:type="spellEnd"/>
              <w:r>
                <w:rPr>
                  <w:color w:val="0563C1"/>
                  <w:sz w:val="22"/>
                  <w:szCs w:val="22"/>
                  <w:u w:val="single"/>
                </w:rPr>
                <w:t>!</w:t>
              </w:r>
            </w:hyperlink>
          </w:p>
          <w:p w14:paraId="46F015E0" w14:textId="77777777" w:rsidR="002949A0" w:rsidRDefault="002949A0">
            <w:pPr>
              <w:spacing w:after="0" w:line="240" w:lineRule="auto"/>
              <w:jc w:val="both"/>
              <w:rPr>
                <w:rFonts w:ascii="Times New Roman" w:eastAsia="Times New Roman" w:hAnsi="Times New Roman" w:cs="Times New Roman"/>
              </w:rPr>
            </w:pPr>
          </w:p>
        </w:tc>
      </w:tr>
      <w:tr w:rsidR="002949A0" w14:paraId="5C548B62" w14:textId="77777777">
        <w:trPr>
          <w:trHeight w:val="350"/>
        </w:trPr>
        <w:tc>
          <w:tcPr>
            <w:tcW w:w="10490" w:type="dxa"/>
            <w:tcBorders>
              <w:bottom w:val="single" w:sz="4" w:space="0" w:color="000000"/>
            </w:tcBorders>
            <w:shd w:val="clear" w:color="auto" w:fill="ECECEC"/>
            <w:vAlign w:val="bottom"/>
          </w:tcPr>
          <w:p w14:paraId="7AA7993A" w14:textId="77777777" w:rsidR="002949A0" w:rsidRDefault="00FD3544">
            <w:pPr>
              <w:spacing w:line="275" w:lineRule="auto"/>
              <w:jc w:val="center"/>
              <w:rPr>
                <w:b/>
                <w:sz w:val="36"/>
                <w:szCs w:val="36"/>
              </w:rPr>
            </w:pPr>
            <w:r>
              <w:rPr>
                <w:b/>
                <w:sz w:val="36"/>
                <w:szCs w:val="36"/>
              </w:rPr>
              <w:lastRenderedPageBreak/>
              <w:t>RÉALISATION</w:t>
            </w:r>
          </w:p>
          <w:p w14:paraId="0AAE508B" w14:textId="77777777" w:rsidR="002949A0" w:rsidRDefault="00FD3544">
            <w:pPr>
              <w:spacing w:line="275" w:lineRule="auto"/>
              <w:jc w:val="center"/>
              <w:rPr>
                <w:b/>
                <w:sz w:val="40"/>
                <w:szCs w:val="40"/>
                <w:highlight w:val="yellow"/>
              </w:rPr>
            </w:pPr>
            <w:r>
              <w:rPr>
                <w:b/>
                <w:sz w:val="24"/>
                <w:szCs w:val="24"/>
              </w:rPr>
              <w:t xml:space="preserve">Durée :  1h </w:t>
            </w:r>
          </w:p>
        </w:tc>
      </w:tr>
      <w:tr w:rsidR="002949A0" w14:paraId="78699A50" w14:textId="77777777">
        <w:trPr>
          <w:trHeight w:val="571"/>
        </w:trPr>
        <w:tc>
          <w:tcPr>
            <w:tcW w:w="10490" w:type="dxa"/>
            <w:tcBorders>
              <w:top w:val="single" w:sz="4" w:space="0" w:color="FFFFFF"/>
              <w:bottom w:val="single" w:sz="4" w:space="0" w:color="C9C9C9"/>
            </w:tcBorders>
            <w:shd w:val="clear" w:color="auto" w:fill="ECECEC"/>
            <w:vAlign w:val="center"/>
          </w:tcPr>
          <w:p w14:paraId="327412DB" w14:textId="77777777" w:rsidR="002949A0" w:rsidRDefault="00FD3544">
            <w:pPr>
              <w:spacing w:line="275" w:lineRule="auto"/>
              <w:jc w:val="center"/>
              <w:rPr>
                <w:b/>
                <w:color w:val="000000"/>
                <w:sz w:val="28"/>
                <w:szCs w:val="28"/>
              </w:rPr>
            </w:pPr>
            <w:r>
              <w:rPr>
                <w:b/>
                <w:color w:val="000000"/>
                <w:sz w:val="28"/>
                <w:szCs w:val="28"/>
              </w:rPr>
              <w:t xml:space="preserve">Cours 3 </w:t>
            </w:r>
          </w:p>
          <w:p w14:paraId="2A0436BF" w14:textId="77777777" w:rsidR="002949A0" w:rsidRDefault="00FD3544">
            <w:pPr>
              <w:pBdr>
                <w:top w:val="nil"/>
                <w:left w:val="nil"/>
                <w:bottom w:val="nil"/>
                <w:right w:val="nil"/>
                <w:between w:val="nil"/>
              </w:pBdr>
              <w:shd w:val="clear" w:color="auto" w:fill="ECECEC"/>
              <w:jc w:val="center"/>
              <w:rPr>
                <w:b/>
                <w:color w:val="000000"/>
                <w:sz w:val="24"/>
                <w:szCs w:val="24"/>
              </w:rPr>
            </w:pPr>
            <w:r>
              <w:rPr>
                <w:b/>
                <w:color w:val="000000"/>
                <w:sz w:val="24"/>
                <w:szCs w:val="24"/>
              </w:rPr>
              <w:t xml:space="preserve">Support visuel : </w:t>
            </w:r>
            <w:hyperlink r:id="rId13">
              <w:r>
                <w:rPr>
                  <w:color w:val="0563C1"/>
                  <w:u w:val="single"/>
                </w:rPr>
                <w:t>Cultures et inégalités sous la loupe ! (genially.com)</w:t>
              </w:r>
            </w:hyperlink>
          </w:p>
          <w:p w14:paraId="7EB51965" w14:textId="77777777" w:rsidR="002949A0" w:rsidRDefault="00FD3544">
            <w:pPr>
              <w:widowControl w:val="0"/>
              <w:pBdr>
                <w:top w:val="nil"/>
                <w:left w:val="nil"/>
                <w:bottom w:val="nil"/>
                <w:right w:val="nil"/>
                <w:between w:val="nil"/>
              </w:pBdr>
              <w:spacing w:after="0" w:line="240" w:lineRule="auto"/>
              <w:ind w:left="416"/>
              <w:jc w:val="center"/>
              <w:rPr>
                <w:color w:val="000000"/>
              </w:rPr>
            </w:pPr>
            <w:r>
              <w:rPr>
                <w:b/>
                <w:i/>
                <w:color w:val="FF0000"/>
                <w:sz w:val="20"/>
                <w:szCs w:val="20"/>
              </w:rPr>
              <w:t xml:space="preserve">Important : </w:t>
            </w:r>
            <w:r>
              <w:rPr>
                <w:i/>
                <w:color w:val="FF0000"/>
                <w:sz w:val="20"/>
                <w:szCs w:val="20"/>
              </w:rPr>
              <w:t xml:space="preserve">Vous devez cliquer sur l’icône « présenter », en haut à droite du </w:t>
            </w:r>
            <w:proofErr w:type="spellStart"/>
            <w:r>
              <w:rPr>
                <w:i/>
                <w:color w:val="FF0000"/>
                <w:sz w:val="20"/>
                <w:szCs w:val="20"/>
              </w:rPr>
              <w:t>Genially</w:t>
            </w:r>
            <w:proofErr w:type="spellEnd"/>
            <w:r>
              <w:rPr>
                <w:i/>
                <w:color w:val="FF0000"/>
                <w:sz w:val="20"/>
                <w:szCs w:val="20"/>
              </w:rPr>
              <w:t>, pour accéder au mode présentation et pouvoir cliquer sur les liens présentés dans celui-ci.</w:t>
            </w:r>
          </w:p>
          <w:p w14:paraId="049C39FF" w14:textId="77777777" w:rsidR="002949A0" w:rsidRDefault="002949A0">
            <w:pPr>
              <w:spacing w:line="275" w:lineRule="auto"/>
              <w:jc w:val="center"/>
              <w:rPr>
                <w:b/>
                <w:color w:val="000000"/>
                <w:sz w:val="28"/>
                <w:szCs w:val="28"/>
                <w:highlight w:val="yellow"/>
              </w:rPr>
            </w:pPr>
          </w:p>
        </w:tc>
      </w:tr>
      <w:tr w:rsidR="002949A0" w14:paraId="4F915AB8" w14:textId="77777777">
        <w:trPr>
          <w:trHeight w:val="571"/>
        </w:trPr>
        <w:tc>
          <w:tcPr>
            <w:tcW w:w="10490" w:type="dxa"/>
            <w:tcBorders>
              <w:top w:val="single" w:sz="4" w:space="0" w:color="FFFFFF"/>
              <w:bottom w:val="single" w:sz="4" w:space="0" w:color="C9C9C9"/>
            </w:tcBorders>
            <w:shd w:val="clear" w:color="auto" w:fill="FFFFFF"/>
            <w:vAlign w:val="center"/>
          </w:tcPr>
          <w:p w14:paraId="0651F57D" w14:textId="6702B7F9" w:rsidR="002949A0" w:rsidRDefault="00FD3544">
            <w:pPr>
              <w:numPr>
                <w:ilvl w:val="0"/>
                <w:numId w:val="2"/>
              </w:numPr>
              <w:pBdr>
                <w:top w:val="nil"/>
                <w:left w:val="nil"/>
                <w:bottom w:val="nil"/>
                <w:right w:val="nil"/>
                <w:between w:val="nil"/>
              </w:pBdr>
              <w:spacing w:after="0" w:line="275" w:lineRule="auto"/>
              <w:rPr>
                <w:b/>
                <w:color w:val="000000"/>
              </w:rPr>
            </w:pPr>
            <w:r>
              <w:rPr>
                <w:b/>
                <w:color w:val="000000"/>
              </w:rPr>
              <w:lastRenderedPageBreak/>
              <w:t xml:space="preserve">Élément déclencheur :  </w:t>
            </w:r>
            <w:r>
              <w:rPr>
                <w:color w:val="000000"/>
              </w:rPr>
              <w:t xml:space="preserve">Comme récapitulatif du cours précédent sur la théorie de Bourdieu, la personne enseignante distribue une partie de la BD </w:t>
            </w:r>
            <w:r>
              <w:rPr>
                <w:i/>
                <w:color w:val="000000"/>
              </w:rPr>
              <w:t>La Distinction</w:t>
            </w:r>
            <w:r>
              <w:rPr>
                <w:color w:val="000000"/>
              </w:rPr>
              <w:t xml:space="preserve"> de Tiphaine Rivière</w:t>
            </w:r>
            <w:r>
              <w:rPr>
                <w:color w:val="000000"/>
                <w:vertAlign w:val="superscript"/>
              </w:rPr>
              <w:footnoteReference w:id="8"/>
            </w:r>
            <w:r w:rsidR="00F30724">
              <w:rPr>
                <w:color w:val="000000"/>
              </w:rPr>
              <w:t xml:space="preserve"> </w:t>
            </w:r>
            <w:r>
              <w:rPr>
                <w:b/>
                <w:color w:val="2F5496"/>
              </w:rPr>
              <w:t>(Annexe C)</w:t>
            </w:r>
            <w:r>
              <w:rPr>
                <w:color w:val="000000"/>
              </w:rPr>
              <w:t>, qui vulgarise la théorie bourdieusienne. L'extrait sélectionné calcule le capital culturel des personnes à l'aide d'étoiles. Les élèves pourront ainsi voir le lien avec l'activité qui suivra.</w:t>
            </w:r>
          </w:p>
          <w:p w14:paraId="11436ACB" w14:textId="77777777" w:rsidR="002949A0" w:rsidRDefault="002949A0">
            <w:pPr>
              <w:pBdr>
                <w:top w:val="nil"/>
                <w:left w:val="nil"/>
                <w:bottom w:val="nil"/>
                <w:right w:val="nil"/>
                <w:between w:val="nil"/>
              </w:pBdr>
              <w:spacing w:after="0" w:line="275" w:lineRule="auto"/>
              <w:ind w:left="416"/>
              <w:rPr>
                <w:b/>
                <w:color w:val="000000"/>
              </w:rPr>
            </w:pPr>
          </w:p>
          <w:p w14:paraId="6264B1EE" w14:textId="6E58B5A1" w:rsidR="002949A0" w:rsidRDefault="00FD3544">
            <w:pPr>
              <w:numPr>
                <w:ilvl w:val="0"/>
                <w:numId w:val="2"/>
              </w:numPr>
              <w:pBdr>
                <w:top w:val="nil"/>
                <w:left w:val="nil"/>
                <w:bottom w:val="nil"/>
                <w:right w:val="nil"/>
                <w:between w:val="nil"/>
              </w:pBdr>
              <w:spacing w:line="275" w:lineRule="auto"/>
              <w:jc w:val="both"/>
              <w:rPr>
                <w:i/>
                <w:color w:val="000000"/>
              </w:rPr>
            </w:pPr>
            <w:r>
              <w:rPr>
                <w:b/>
                <w:color w:val="000000"/>
              </w:rPr>
              <w:t xml:space="preserve">Le jeu du capital culturel </w:t>
            </w:r>
            <w:r>
              <w:rPr>
                <w:b/>
                <w:color w:val="2F5496"/>
              </w:rPr>
              <w:t>(Annexe D) </w:t>
            </w:r>
            <w:r>
              <w:rPr>
                <w:b/>
                <w:color w:val="000000"/>
              </w:rPr>
              <w:t xml:space="preserve">: </w:t>
            </w:r>
            <w:r>
              <w:rPr>
                <w:color w:val="000000"/>
              </w:rPr>
              <w:t xml:space="preserve">La personne enseignante introduit l'activité de manière différente aujourd'hui ! Étant donné que les élèves ont joué le rôle des sociologues au dernier cours, il est maintenant impératif qu'ils et elles mènent une recherche sur le terrain ! Pour comprendre les réalités culturelles et sociales, il faut aller au-delà de la théorie et s'immerger </w:t>
            </w:r>
            <w:r>
              <w:rPr>
                <w:b/>
                <w:color w:val="2F5496"/>
              </w:rPr>
              <w:t>(Diapo 34)</w:t>
            </w:r>
            <w:r>
              <w:rPr>
                <w:color w:val="000000"/>
              </w:rPr>
              <w:t xml:space="preserve">.   </w:t>
            </w:r>
          </w:p>
          <w:p w14:paraId="4C0ADC8A" w14:textId="77777777" w:rsidR="002949A0" w:rsidRDefault="00FD3544">
            <w:pPr>
              <w:pBdr>
                <w:top w:val="nil"/>
                <w:left w:val="nil"/>
                <w:bottom w:val="nil"/>
                <w:right w:val="nil"/>
                <w:between w:val="nil"/>
              </w:pBdr>
              <w:spacing w:line="240" w:lineRule="auto"/>
              <w:ind w:left="416"/>
              <w:jc w:val="both"/>
              <w:rPr>
                <w:b/>
                <w:color w:val="000000"/>
                <w:u w:val="single"/>
              </w:rPr>
            </w:pPr>
            <w:r>
              <w:rPr>
                <w:b/>
                <w:color w:val="000000"/>
              </w:rPr>
              <w:t xml:space="preserve">Matériel pour le jeu : </w:t>
            </w:r>
            <w:r>
              <w:rPr>
                <w:i/>
                <w:color w:val="000000"/>
              </w:rPr>
              <w:t xml:space="preserve"> </w:t>
            </w:r>
            <w:r>
              <w:rPr>
                <w:color w:val="000000"/>
              </w:rPr>
              <w:t xml:space="preserve">Fiches des personnages </w:t>
            </w:r>
            <w:r>
              <w:rPr>
                <w:b/>
                <w:color w:val="2F5496"/>
              </w:rPr>
              <w:t>(Annexe D)</w:t>
            </w:r>
            <w:r>
              <w:rPr>
                <w:color w:val="2F5496"/>
              </w:rPr>
              <w:t xml:space="preserve"> </w:t>
            </w:r>
            <w:r>
              <w:rPr>
                <w:color w:val="000000"/>
              </w:rPr>
              <w:t xml:space="preserve">Fiche d’animation </w:t>
            </w:r>
            <w:r>
              <w:rPr>
                <w:b/>
                <w:color w:val="2F5496"/>
              </w:rPr>
              <w:t>(Annexe D).</w:t>
            </w:r>
            <w:r>
              <w:rPr>
                <w:color w:val="ED7D31"/>
              </w:rPr>
              <w:t xml:space="preserve">  </w:t>
            </w:r>
            <w:r>
              <w:rPr>
                <w:b/>
                <w:i/>
                <w:color w:val="000000"/>
                <w:u w:val="single"/>
              </w:rPr>
              <w:t>La marche à suivre du jeu est indiqué sur la fiche annexée.</w:t>
            </w:r>
            <w:r>
              <w:rPr>
                <w:b/>
                <w:color w:val="000000"/>
                <w:u w:val="single"/>
              </w:rPr>
              <w:t xml:space="preserve"> </w:t>
            </w:r>
          </w:p>
          <w:p w14:paraId="57BB753F" w14:textId="77777777" w:rsidR="002949A0" w:rsidRDefault="00FD3544">
            <w:pPr>
              <w:pBdr>
                <w:top w:val="nil"/>
                <w:left w:val="nil"/>
                <w:bottom w:val="nil"/>
                <w:right w:val="nil"/>
                <w:between w:val="nil"/>
              </w:pBdr>
              <w:spacing w:line="240" w:lineRule="auto"/>
              <w:ind w:left="416"/>
              <w:rPr>
                <w:color w:val="000000"/>
              </w:rPr>
            </w:pPr>
            <w:r>
              <w:rPr>
                <w:b/>
                <w:color w:val="000000"/>
              </w:rPr>
              <w:t>Objectif du jeu :</w:t>
            </w:r>
            <w:r>
              <w:rPr>
                <w:color w:val="000000"/>
              </w:rPr>
              <w:t xml:space="preserve"> Comprendre et analyser comment le capital culturel influence les performances et les interactions sociales à travers les défis du jeu. </w:t>
            </w:r>
          </w:p>
          <w:p w14:paraId="4D8DC6EE" w14:textId="77777777" w:rsidR="002949A0" w:rsidRDefault="00FD3544">
            <w:pPr>
              <w:numPr>
                <w:ilvl w:val="0"/>
                <w:numId w:val="2"/>
              </w:numPr>
              <w:pBdr>
                <w:top w:val="nil"/>
                <w:left w:val="nil"/>
                <w:bottom w:val="nil"/>
                <w:right w:val="nil"/>
                <w:between w:val="nil"/>
              </w:pBdr>
              <w:spacing w:after="0" w:line="275" w:lineRule="auto"/>
              <w:jc w:val="both"/>
              <w:rPr>
                <w:i/>
                <w:color w:val="000000"/>
              </w:rPr>
            </w:pPr>
            <w:r>
              <w:rPr>
                <w:b/>
                <w:color w:val="000000"/>
              </w:rPr>
              <w:t>N.B.</w:t>
            </w:r>
            <w:r>
              <w:rPr>
                <w:color w:val="000000"/>
              </w:rPr>
              <w:t xml:space="preserve"> : </w:t>
            </w:r>
            <w:r>
              <w:rPr>
                <w:i/>
                <w:color w:val="000000"/>
              </w:rPr>
              <w:t xml:space="preserve">Expliquez préalablement la fiche d’animation aux élèves qui devront incarner ce rôle, ainsi que la fiche des personnages à ceux qui devront relever les défis posés par l’élève qui va animer. N'hésitez pas à personnaliser les explications pour garantir une compréhension optimale. </w:t>
            </w:r>
          </w:p>
          <w:p w14:paraId="53157885" w14:textId="77777777" w:rsidR="002949A0" w:rsidRDefault="002949A0">
            <w:pPr>
              <w:pBdr>
                <w:top w:val="nil"/>
                <w:left w:val="nil"/>
                <w:bottom w:val="nil"/>
                <w:right w:val="nil"/>
                <w:between w:val="nil"/>
              </w:pBdr>
              <w:spacing w:after="0" w:line="275" w:lineRule="auto"/>
              <w:ind w:left="416"/>
              <w:jc w:val="both"/>
              <w:rPr>
                <w:i/>
                <w:color w:val="000000"/>
              </w:rPr>
            </w:pPr>
          </w:p>
          <w:p w14:paraId="79BD5AE8" w14:textId="77777777" w:rsidR="002949A0" w:rsidRDefault="00FD3544">
            <w:pPr>
              <w:numPr>
                <w:ilvl w:val="0"/>
                <w:numId w:val="2"/>
              </w:numPr>
              <w:pBdr>
                <w:top w:val="nil"/>
                <w:left w:val="nil"/>
                <w:bottom w:val="nil"/>
                <w:right w:val="nil"/>
                <w:between w:val="nil"/>
              </w:pBdr>
              <w:spacing w:after="0" w:line="275" w:lineRule="auto"/>
              <w:jc w:val="both"/>
              <w:rPr>
                <w:color w:val="000000"/>
              </w:rPr>
            </w:pPr>
            <w:r>
              <w:rPr>
                <w:b/>
                <w:color w:val="000000"/>
              </w:rPr>
              <w:t>Activité « jeu du capital culturel » :</w:t>
            </w:r>
            <w:r>
              <w:rPr>
                <w:color w:val="000000"/>
              </w:rPr>
              <w:t xml:space="preserve"> Les élèves participent à l’activité en équipe de 3.</w:t>
            </w:r>
          </w:p>
          <w:p w14:paraId="70557941" w14:textId="77777777" w:rsidR="002949A0" w:rsidRDefault="002949A0">
            <w:pPr>
              <w:pBdr>
                <w:top w:val="nil"/>
                <w:left w:val="nil"/>
                <w:bottom w:val="nil"/>
                <w:right w:val="nil"/>
                <w:between w:val="nil"/>
              </w:pBdr>
              <w:spacing w:after="0" w:line="275" w:lineRule="auto"/>
              <w:ind w:left="416"/>
              <w:jc w:val="both"/>
              <w:rPr>
                <w:b/>
                <w:color w:val="000000"/>
              </w:rPr>
            </w:pPr>
          </w:p>
          <w:p w14:paraId="1A199FF0" w14:textId="77777777" w:rsidR="002949A0" w:rsidRDefault="00FD3544">
            <w:pPr>
              <w:numPr>
                <w:ilvl w:val="0"/>
                <w:numId w:val="2"/>
              </w:numPr>
              <w:pBdr>
                <w:top w:val="nil"/>
                <w:left w:val="nil"/>
                <w:bottom w:val="nil"/>
                <w:right w:val="nil"/>
                <w:between w:val="nil"/>
              </w:pBdr>
              <w:spacing w:after="0" w:line="275" w:lineRule="auto"/>
              <w:jc w:val="both"/>
              <w:rPr>
                <w:b/>
                <w:color w:val="000000"/>
              </w:rPr>
            </w:pPr>
            <w:r>
              <w:rPr>
                <w:b/>
                <w:color w:val="000000"/>
              </w:rPr>
              <w:t xml:space="preserve">Retour : </w:t>
            </w:r>
            <w:r>
              <w:rPr>
                <w:color w:val="000000"/>
              </w:rPr>
              <w:t>La personne enseignante invite les élèves à retourner à leur place et fait un bref retour avec la classe</w:t>
            </w:r>
          </w:p>
          <w:p w14:paraId="64196E43" w14:textId="77777777" w:rsidR="002949A0" w:rsidRDefault="002949A0">
            <w:pPr>
              <w:pBdr>
                <w:top w:val="nil"/>
                <w:left w:val="nil"/>
                <w:bottom w:val="nil"/>
                <w:right w:val="nil"/>
                <w:between w:val="nil"/>
              </w:pBdr>
              <w:spacing w:after="0"/>
              <w:ind w:left="720"/>
              <w:rPr>
                <w:color w:val="000000"/>
              </w:rPr>
            </w:pPr>
          </w:p>
          <w:p w14:paraId="3EA7E365" w14:textId="77777777" w:rsidR="002949A0" w:rsidRDefault="00FD3544">
            <w:pPr>
              <w:numPr>
                <w:ilvl w:val="0"/>
                <w:numId w:val="2"/>
              </w:numPr>
              <w:pBdr>
                <w:top w:val="nil"/>
                <w:left w:val="nil"/>
                <w:bottom w:val="nil"/>
                <w:right w:val="nil"/>
                <w:between w:val="nil"/>
              </w:pBdr>
              <w:spacing w:after="0" w:line="275" w:lineRule="auto"/>
              <w:jc w:val="both"/>
              <w:rPr>
                <w:b/>
                <w:color w:val="000000"/>
              </w:rPr>
            </w:pPr>
            <w:r>
              <w:rPr>
                <w:b/>
                <w:color w:val="000000"/>
              </w:rPr>
              <w:t xml:space="preserve">Collecte et analyse des données : Présenter et expliquer aux élèves l’exercice suivant : « la collecte de données ». </w:t>
            </w:r>
            <w:r>
              <w:rPr>
                <w:color w:val="000000"/>
              </w:rPr>
              <w:t xml:space="preserve">Les détails de cet exercice sont explicités dans la fiche « collecte de données » en annexe </w:t>
            </w:r>
            <w:r>
              <w:rPr>
                <w:b/>
                <w:color w:val="2F5496"/>
              </w:rPr>
              <w:t>(Annexe E)</w:t>
            </w:r>
            <w:r>
              <w:rPr>
                <w:b/>
                <w:color w:val="000000"/>
              </w:rPr>
              <w:t xml:space="preserve">. </w:t>
            </w:r>
          </w:p>
          <w:p w14:paraId="49CB787A" w14:textId="77777777" w:rsidR="002949A0" w:rsidRDefault="002949A0">
            <w:pPr>
              <w:pBdr>
                <w:top w:val="nil"/>
                <w:left w:val="nil"/>
                <w:bottom w:val="nil"/>
                <w:right w:val="nil"/>
                <w:between w:val="nil"/>
              </w:pBdr>
              <w:spacing w:after="0"/>
              <w:ind w:left="720"/>
              <w:rPr>
                <w:color w:val="000000"/>
              </w:rPr>
            </w:pPr>
          </w:p>
          <w:p w14:paraId="1DD9B18C" w14:textId="77777777" w:rsidR="002949A0" w:rsidRDefault="00FD3544">
            <w:pPr>
              <w:pBdr>
                <w:top w:val="nil"/>
                <w:left w:val="nil"/>
                <w:bottom w:val="nil"/>
                <w:right w:val="nil"/>
                <w:between w:val="nil"/>
              </w:pBdr>
              <w:spacing w:after="0" w:line="275" w:lineRule="auto"/>
              <w:ind w:left="416"/>
              <w:jc w:val="both"/>
              <w:rPr>
                <w:b/>
                <w:color w:val="000000"/>
              </w:rPr>
            </w:pPr>
            <w:r>
              <w:rPr>
                <w:color w:val="000000"/>
              </w:rPr>
              <w:t xml:space="preserve">La démarche de collecte des données permettra aux élèves de formuler des constats. </w:t>
            </w:r>
          </w:p>
          <w:p w14:paraId="437CF770" w14:textId="77777777" w:rsidR="002949A0" w:rsidRDefault="002949A0">
            <w:pPr>
              <w:pBdr>
                <w:top w:val="nil"/>
                <w:left w:val="nil"/>
                <w:bottom w:val="nil"/>
                <w:right w:val="nil"/>
                <w:between w:val="nil"/>
              </w:pBdr>
              <w:spacing w:after="0" w:line="275" w:lineRule="auto"/>
              <w:ind w:left="416"/>
              <w:jc w:val="both"/>
              <w:rPr>
                <w:b/>
                <w:color w:val="000000"/>
              </w:rPr>
            </w:pPr>
          </w:p>
          <w:p w14:paraId="2C2D6AA4" w14:textId="77777777" w:rsidR="002949A0" w:rsidRDefault="00FD3544">
            <w:pPr>
              <w:numPr>
                <w:ilvl w:val="0"/>
                <w:numId w:val="2"/>
              </w:numPr>
              <w:pBdr>
                <w:top w:val="nil"/>
                <w:left w:val="nil"/>
                <w:bottom w:val="nil"/>
                <w:right w:val="nil"/>
                <w:between w:val="nil"/>
              </w:pBdr>
              <w:spacing w:line="275" w:lineRule="auto"/>
              <w:jc w:val="both"/>
              <w:rPr>
                <w:b/>
                <w:color w:val="000000"/>
              </w:rPr>
            </w:pPr>
            <w:r>
              <w:rPr>
                <w:b/>
                <w:color w:val="000000"/>
              </w:rPr>
              <w:t xml:space="preserve">Collecte et analyse des données : </w:t>
            </w:r>
            <w:r>
              <w:rPr>
                <w:color w:val="000000"/>
              </w:rPr>
              <w:t xml:space="preserve">Les élèves vont collecter les informations avec le gabarit nécessaire auprès de l’équipe désignée </w:t>
            </w:r>
            <w:r>
              <w:rPr>
                <w:b/>
                <w:color w:val="2F5496"/>
              </w:rPr>
              <w:t>(Annexe E)</w:t>
            </w:r>
            <w:r>
              <w:rPr>
                <w:b/>
                <w:color w:val="000000"/>
              </w:rPr>
              <w:t>.</w:t>
            </w:r>
            <w:r>
              <w:rPr>
                <w:color w:val="000000"/>
              </w:rPr>
              <w:t xml:space="preserve"> </w:t>
            </w:r>
          </w:p>
          <w:p w14:paraId="6560DF15" w14:textId="77777777" w:rsidR="002949A0" w:rsidRDefault="00FD3544">
            <w:pPr>
              <w:numPr>
                <w:ilvl w:val="0"/>
                <w:numId w:val="2"/>
              </w:numPr>
              <w:pBdr>
                <w:top w:val="nil"/>
                <w:left w:val="nil"/>
                <w:bottom w:val="nil"/>
                <w:right w:val="nil"/>
                <w:between w:val="nil"/>
              </w:pBdr>
              <w:spacing w:line="240" w:lineRule="auto"/>
              <w:jc w:val="both"/>
              <w:rPr>
                <w:color w:val="000000"/>
              </w:rPr>
            </w:pPr>
            <w:r>
              <w:rPr>
                <w:b/>
                <w:color w:val="000000"/>
              </w:rPr>
              <w:t xml:space="preserve">Plénière : </w:t>
            </w:r>
            <w:r>
              <w:rPr>
                <w:color w:val="000000"/>
              </w:rPr>
              <w:t>La personne enseignante invite les élèves à regagner leur place et sollicite leurs impressions sur les résultats obtenus. Elle encourage également les élèves à établir un parallèle entre le jeu et la réalité, en leur demandant si, selon leurs propres analyses, le jeu est représentatif des dynamiques sociales réelles.</w:t>
            </w:r>
          </w:p>
          <w:p w14:paraId="19FD19CC" w14:textId="77777777" w:rsidR="002949A0" w:rsidRDefault="002949A0">
            <w:pPr>
              <w:pBdr>
                <w:top w:val="nil"/>
                <w:left w:val="nil"/>
                <w:bottom w:val="nil"/>
                <w:right w:val="nil"/>
                <w:between w:val="nil"/>
              </w:pBdr>
              <w:spacing w:line="240" w:lineRule="auto"/>
              <w:ind w:left="416"/>
              <w:jc w:val="both"/>
              <w:rPr>
                <w:rFonts w:ascii="Times New Roman" w:eastAsia="Times New Roman" w:hAnsi="Times New Roman" w:cs="Times New Roman"/>
                <w:b/>
                <w:color w:val="000000"/>
                <w:sz w:val="24"/>
                <w:szCs w:val="24"/>
                <w:highlight w:val="yellow"/>
              </w:rPr>
            </w:pPr>
          </w:p>
          <w:p w14:paraId="505B09BC" w14:textId="77777777" w:rsidR="00BF23B7" w:rsidRDefault="00BF23B7">
            <w:pPr>
              <w:pBdr>
                <w:top w:val="nil"/>
                <w:left w:val="nil"/>
                <w:bottom w:val="nil"/>
                <w:right w:val="nil"/>
                <w:between w:val="nil"/>
              </w:pBdr>
              <w:spacing w:line="240" w:lineRule="auto"/>
              <w:ind w:left="416"/>
              <w:jc w:val="both"/>
              <w:rPr>
                <w:rFonts w:ascii="Times New Roman" w:eastAsia="Times New Roman" w:hAnsi="Times New Roman" w:cs="Times New Roman"/>
                <w:b/>
                <w:color w:val="000000"/>
                <w:sz w:val="24"/>
                <w:szCs w:val="24"/>
                <w:highlight w:val="yellow"/>
              </w:rPr>
            </w:pPr>
          </w:p>
        </w:tc>
      </w:tr>
      <w:tr w:rsidR="002949A0" w14:paraId="26913576" w14:textId="77777777">
        <w:trPr>
          <w:trHeight w:val="350"/>
        </w:trPr>
        <w:tc>
          <w:tcPr>
            <w:tcW w:w="10490" w:type="dxa"/>
            <w:shd w:val="clear" w:color="auto" w:fill="ECECEC"/>
            <w:vAlign w:val="bottom"/>
          </w:tcPr>
          <w:p w14:paraId="1652347D" w14:textId="77777777" w:rsidR="002949A0" w:rsidRDefault="00FD3544">
            <w:pPr>
              <w:spacing w:line="275" w:lineRule="auto"/>
              <w:jc w:val="center"/>
              <w:rPr>
                <w:b/>
                <w:sz w:val="36"/>
                <w:szCs w:val="36"/>
              </w:rPr>
            </w:pPr>
            <w:r>
              <w:rPr>
                <w:b/>
                <w:sz w:val="36"/>
                <w:szCs w:val="36"/>
              </w:rPr>
              <w:lastRenderedPageBreak/>
              <w:t>INTÉGRATION</w:t>
            </w:r>
          </w:p>
          <w:p w14:paraId="6AB46B9C" w14:textId="77777777" w:rsidR="002949A0" w:rsidRDefault="00FD3544">
            <w:pPr>
              <w:spacing w:line="275" w:lineRule="auto"/>
              <w:jc w:val="center"/>
              <w:rPr>
                <w:b/>
                <w:sz w:val="36"/>
                <w:szCs w:val="36"/>
                <w:highlight w:val="yellow"/>
              </w:rPr>
            </w:pPr>
            <w:r>
              <w:rPr>
                <w:b/>
                <w:sz w:val="24"/>
                <w:szCs w:val="24"/>
              </w:rPr>
              <w:t xml:space="preserve">Durée :  1h  </w:t>
            </w:r>
          </w:p>
        </w:tc>
      </w:tr>
      <w:tr w:rsidR="002949A0" w14:paraId="37765A77" w14:textId="77777777">
        <w:trPr>
          <w:trHeight w:val="350"/>
        </w:trPr>
        <w:tc>
          <w:tcPr>
            <w:tcW w:w="10490" w:type="dxa"/>
            <w:shd w:val="clear" w:color="auto" w:fill="E7E6E6"/>
            <w:vAlign w:val="bottom"/>
          </w:tcPr>
          <w:p w14:paraId="2BBCB806" w14:textId="77777777" w:rsidR="002949A0" w:rsidRDefault="00FD3544">
            <w:pPr>
              <w:spacing w:line="275" w:lineRule="auto"/>
              <w:jc w:val="center"/>
              <w:rPr>
                <w:b/>
                <w:sz w:val="28"/>
                <w:szCs w:val="28"/>
              </w:rPr>
            </w:pPr>
            <w:r>
              <w:rPr>
                <w:b/>
                <w:sz w:val="28"/>
                <w:szCs w:val="28"/>
              </w:rPr>
              <w:t xml:space="preserve">Cours 4 </w:t>
            </w:r>
          </w:p>
          <w:p w14:paraId="01EC94F3" w14:textId="77777777" w:rsidR="002949A0" w:rsidRDefault="00FD3544">
            <w:pPr>
              <w:pBdr>
                <w:top w:val="nil"/>
                <w:left w:val="nil"/>
                <w:bottom w:val="nil"/>
                <w:right w:val="nil"/>
                <w:between w:val="nil"/>
              </w:pBdr>
              <w:shd w:val="clear" w:color="auto" w:fill="ECECEC"/>
              <w:jc w:val="center"/>
              <w:rPr>
                <w:b/>
                <w:color w:val="000000"/>
                <w:sz w:val="24"/>
                <w:szCs w:val="24"/>
              </w:rPr>
            </w:pPr>
            <w:r>
              <w:rPr>
                <w:b/>
                <w:sz w:val="24"/>
                <w:szCs w:val="24"/>
              </w:rPr>
              <w:t xml:space="preserve">Support visuel : </w:t>
            </w:r>
            <w:hyperlink r:id="rId14">
              <w:r>
                <w:rPr>
                  <w:color w:val="0563C1"/>
                  <w:u w:val="single"/>
                </w:rPr>
                <w:t>Cultures et inégalités sous la loupe ! (genially.com)</w:t>
              </w:r>
            </w:hyperlink>
          </w:p>
          <w:p w14:paraId="6C1AEECA" w14:textId="77777777" w:rsidR="002949A0" w:rsidRDefault="00FD3544">
            <w:pPr>
              <w:widowControl w:val="0"/>
              <w:pBdr>
                <w:top w:val="nil"/>
                <w:left w:val="nil"/>
                <w:bottom w:val="nil"/>
                <w:right w:val="nil"/>
                <w:between w:val="nil"/>
              </w:pBdr>
              <w:spacing w:after="0" w:line="240" w:lineRule="auto"/>
              <w:ind w:left="416"/>
              <w:jc w:val="center"/>
              <w:rPr>
                <w:color w:val="000000"/>
              </w:rPr>
            </w:pPr>
            <w:r>
              <w:rPr>
                <w:b/>
                <w:i/>
                <w:color w:val="FF0000"/>
                <w:sz w:val="20"/>
                <w:szCs w:val="20"/>
              </w:rPr>
              <w:t xml:space="preserve">Important : </w:t>
            </w:r>
            <w:r>
              <w:rPr>
                <w:i/>
                <w:color w:val="FF0000"/>
                <w:sz w:val="20"/>
                <w:szCs w:val="20"/>
              </w:rPr>
              <w:t xml:space="preserve">Vous devez cliquer sur l’icône « présenter », en haut à droite du </w:t>
            </w:r>
            <w:proofErr w:type="spellStart"/>
            <w:r>
              <w:rPr>
                <w:i/>
                <w:color w:val="FF0000"/>
                <w:sz w:val="20"/>
                <w:szCs w:val="20"/>
              </w:rPr>
              <w:t>Genially</w:t>
            </w:r>
            <w:proofErr w:type="spellEnd"/>
            <w:r>
              <w:rPr>
                <w:i/>
                <w:color w:val="FF0000"/>
                <w:sz w:val="20"/>
                <w:szCs w:val="20"/>
              </w:rPr>
              <w:t>, pour accéder au mode présentation et pouvoir cliquer sur les liens présentés dans celui-ci.</w:t>
            </w:r>
          </w:p>
          <w:p w14:paraId="6047A448" w14:textId="77777777" w:rsidR="002949A0" w:rsidRDefault="002949A0">
            <w:pPr>
              <w:spacing w:line="275" w:lineRule="auto"/>
              <w:jc w:val="center"/>
              <w:rPr>
                <w:b/>
                <w:sz w:val="24"/>
                <w:szCs w:val="24"/>
              </w:rPr>
            </w:pPr>
          </w:p>
        </w:tc>
      </w:tr>
      <w:tr w:rsidR="002949A0" w14:paraId="79DAD633" w14:textId="77777777">
        <w:trPr>
          <w:trHeight w:val="350"/>
        </w:trPr>
        <w:tc>
          <w:tcPr>
            <w:tcW w:w="10490" w:type="dxa"/>
            <w:shd w:val="clear" w:color="auto" w:fill="FFFFFF"/>
            <w:vAlign w:val="bottom"/>
          </w:tcPr>
          <w:p w14:paraId="527947D1" w14:textId="77777777" w:rsidR="002949A0" w:rsidRDefault="002949A0">
            <w:pPr>
              <w:pBdr>
                <w:top w:val="nil"/>
                <w:left w:val="nil"/>
                <w:bottom w:val="nil"/>
                <w:right w:val="nil"/>
                <w:between w:val="nil"/>
              </w:pBdr>
              <w:spacing w:after="0" w:line="275" w:lineRule="auto"/>
              <w:ind w:left="416"/>
              <w:jc w:val="both"/>
              <w:rPr>
                <w:b/>
                <w:color w:val="000000"/>
              </w:rPr>
            </w:pPr>
          </w:p>
          <w:p w14:paraId="11C50CCC" w14:textId="77777777" w:rsidR="002949A0" w:rsidRDefault="00FD3544">
            <w:pPr>
              <w:numPr>
                <w:ilvl w:val="0"/>
                <w:numId w:val="2"/>
              </w:numPr>
              <w:pBdr>
                <w:top w:val="nil"/>
                <w:left w:val="nil"/>
                <w:bottom w:val="nil"/>
                <w:right w:val="nil"/>
                <w:between w:val="nil"/>
              </w:pBdr>
              <w:spacing w:after="0" w:line="275" w:lineRule="auto"/>
              <w:jc w:val="both"/>
              <w:rPr>
                <w:b/>
                <w:color w:val="000000"/>
              </w:rPr>
            </w:pPr>
            <w:r>
              <w:rPr>
                <w:b/>
                <w:color w:val="000000"/>
              </w:rPr>
              <w:t xml:space="preserve">Limites de la démarche : </w:t>
            </w:r>
            <w:r>
              <w:rPr>
                <w:color w:val="000000"/>
              </w:rPr>
              <w:t xml:space="preserve">En conclusion de la SAE, et en lien avec les deux compétences du programme, la personne enseignante aborde les limites d'une telle démarche. Elle traite notamment de la complexité inhérente à l'être humain </w:t>
            </w:r>
            <w:r>
              <w:rPr>
                <w:b/>
                <w:color w:val="2F5496"/>
              </w:rPr>
              <w:t>(Diapo 35)</w:t>
            </w:r>
            <w:r>
              <w:rPr>
                <w:color w:val="000000"/>
              </w:rPr>
              <w:t xml:space="preserve">.  </w:t>
            </w:r>
            <w:r>
              <w:rPr>
                <w:i/>
                <w:color w:val="000000"/>
              </w:rPr>
              <w:t xml:space="preserve">Cette partie et celles qui suivent se font de manière participative et permet de laisser davantage la parole aux élèves. </w:t>
            </w:r>
          </w:p>
          <w:p w14:paraId="4F88A8DA" w14:textId="77777777" w:rsidR="002949A0" w:rsidRDefault="002949A0">
            <w:pPr>
              <w:pBdr>
                <w:top w:val="nil"/>
                <w:left w:val="nil"/>
                <w:bottom w:val="nil"/>
                <w:right w:val="nil"/>
                <w:between w:val="nil"/>
              </w:pBdr>
              <w:spacing w:after="0" w:line="275" w:lineRule="auto"/>
              <w:ind w:left="416"/>
              <w:jc w:val="both"/>
              <w:rPr>
                <w:b/>
                <w:color w:val="000000"/>
              </w:rPr>
            </w:pPr>
          </w:p>
          <w:p w14:paraId="48C29C9F" w14:textId="77777777" w:rsidR="002949A0" w:rsidRDefault="00FD3544">
            <w:pPr>
              <w:numPr>
                <w:ilvl w:val="0"/>
                <w:numId w:val="2"/>
              </w:numPr>
              <w:pBdr>
                <w:top w:val="nil"/>
                <w:left w:val="nil"/>
                <w:bottom w:val="nil"/>
                <w:right w:val="nil"/>
                <w:between w:val="nil"/>
              </w:pBdr>
              <w:spacing w:after="0" w:line="275" w:lineRule="auto"/>
              <w:jc w:val="both"/>
              <w:rPr>
                <w:b/>
                <w:color w:val="000000"/>
              </w:rPr>
            </w:pPr>
            <w:r>
              <w:rPr>
                <w:b/>
                <w:color w:val="000000"/>
              </w:rPr>
              <w:t xml:space="preserve">Personnage inspiré d’une réelle personne : </w:t>
            </w:r>
            <w:r>
              <w:rPr>
                <w:color w:val="000000"/>
              </w:rPr>
              <w:t xml:space="preserve">Indiquez aux élèves que le personnage de Farah dans le jeu est inspiré de Farah </w:t>
            </w:r>
            <w:proofErr w:type="spellStart"/>
            <w:r>
              <w:rPr>
                <w:color w:val="000000"/>
              </w:rPr>
              <w:t>Alibay</w:t>
            </w:r>
            <w:proofErr w:type="spellEnd"/>
            <w:r>
              <w:rPr>
                <w:color w:val="000000"/>
                <w:vertAlign w:val="superscript"/>
              </w:rPr>
              <w:footnoteReference w:id="9"/>
            </w:r>
            <w:r>
              <w:rPr>
                <w:color w:val="000000"/>
              </w:rPr>
              <w:t xml:space="preserve">, une personne réelle. Précisez que les étoiles représentant le capital culturel sur la fiche sont fictives et ne reflètent pas le véritable capital culturel de Farah </w:t>
            </w:r>
            <w:proofErr w:type="spellStart"/>
            <w:r>
              <w:rPr>
                <w:color w:val="000000"/>
              </w:rPr>
              <w:t>Alibay</w:t>
            </w:r>
            <w:proofErr w:type="spellEnd"/>
            <w:r>
              <w:rPr>
                <w:color w:val="000000"/>
              </w:rPr>
              <w:t xml:space="preserve"> </w:t>
            </w:r>
            <w:r>
              <w:rPr>
                <w:b/>
                <w:color w:val="2F5496"/>
              </w:rPr>
              <w:t>(Diapo 36)</w:t>
            </w:r>
            <w:r>
              <w:rPr>
                <w:color w:val="000000"/>
              </w:rPr>
              <w:t>.</w:t>
            </w:r>
          </w:p>
          <w:p w14:paraId="6CFF490A" w14:textId="77777777" w:rsidR="002949A0" w:rsidRDefault="002949A0">
            <w:pPr>
              <w:pBdr>
                <w:top w:val="nil"/>
                <w:left w:val="nil"/>
                <w:bottom w:val="nil"/>
                <w:right w:val="nil"/>
                <w:between w:val="nil"/>
              </w:pBdr>
              <w:spacing w:after="0"/>
              <w:ind w:left="720"/>
              <w:rPr>
                <w:color w:val="000000"/>
              </w:rPr>
            </w:pPr>
          </w:p>
          <w:p w14:paraId="18A1F733" w14:textId="77777777" w:rsidR="002949A0" w:rsidRDefault="00FD3544">
            <w:pPr>
              <w:numPr>
                <w:ilvl w:val="0"/>
                <w:numId w:val="2"/>
              </w:numPr>
              <w:pBdr>
                <w:top w:val="nil"/>
                <w:left w:val="nil"/>
                <w:bottom w:val="nil"/>
                <w:right w:val="nil"/>
                <w:between w:val="nil"/>
              </w:pBdr>
              <w:spacing w:after="0" w:line="275" w:lineRule="auto"/>
              <w:jc w:val="both"/>
              <w:rPr>
                <w:color w:val="000000"/>
              </w:rPr>
            </w:pPr>
            <w:r>
              <w:rPr>
                <w:color w:val="000000"/>
              </w:rPr>
              <w:t xml:space="preserve">Affichez les extraits des interviews de Farah à la </w:t>
            </w:r>
            <w:r>
              <w:rPr>
                <w:b/>
                <w:color w:val="2F5496"/>
              </w:rPr>
              <w:t>diapositive 37 et 38</w:t>
            </w:r>
            <w:r>
              <w:rPr>
                <w:color w:val="2F5496"/>
              </w:rPr>
              <w:t xml:space="preserve"> </w:t>
            </w:r>
            <w:r>
              <w:rPr>
                <w:color w:val="000000"/>
              </w:rPr>
              <w:t>pour illustrer aux élèves que, malgré les obstacles, il est possible de réussir. En l'occurrence, cela a été le cas pour Farah.</w:t>
            </w:r>
          </w:p>
          <w:p w14:paraId="18952F07" w14:textId="77777777" w:rsidR="002949A0" w:rsidRDefault="002949A0">
            <w:pPr>
              <w:pBdr>
                <w:top w:val="nil"/>
                <w:left w:val="nil"/>
                <w:bottom w:val="nil"/>
                <w:right w:val="nil"/>
                <w:between w:val="nil"/>
              </w:pBdr>
              <w:spacing w:after="0"/>
              <w:ind w:left="720"/>
              <w:rPr>
                <w:b/>
                <w:color w:val="000000"/>
              </w:rPr>
            </w:pPr>
          </w:p>
          <w:p w14:paraId="2E39EEAB" w14:textId="77777777" w:rsidR="002949A0" w:rsidRDefault="00FD3544">
            <w:pPr>
              <w:numPr>
                <w:ilvl w:val="0"/>
                <w:numId w:val="2"/>
              </w:numPr>
              <w:pBdr>
                <w:top w:val="nil"/>
                <w:left w:val="nil"/>
                <w:bottom w:val="nil"/>
                <w:right w:val="nil"/>
                <w:between w:val="nil"/>
              </w:pBdr>
              <w:spacing w:after="0" w:line="275" w:lineRule="auto"/>
              <w:jc w:val="both"/>
              <w:rPr>
                <w:b/>
                <w:color w:val="000000"/>
              </w:rPr>
            </w:pPr>
            <w:r>
              <w:rPr>
                <w:b/>
                <w:color w:val="000000"/>
              </w:rPr>
              <w:t xml:space="preserve">L’agentivité :  </w:t>
            </w:r>
            <w:r>
              <w:rPr>
                <w:color w:val="000000"/>
              </w:rPr>
              <w:t>Poursuivre en expliquant aux élèves le principe de l'agentivité</w:t>
            </w:r>
            <w:r>
              <w:rPr>
                <w:color w:val="000000"/>
                <w:vertAlign w:val="superscript"/>
              </w:rPr>
              <w:footnoteReference w:id="10"/>
            </w:r>
            <w:r>
              <w:rPr>
                <w:color w:val="000000"/>
              </w:rPr>
              <w:t xml:space="preserve">. Souligner la capacité d'une à chaque individu, malgré les obstacles et les contraintes externes, de façonner sa destinée grâce à sa détermination et à ses choix personnels </w:t>
            </w:r>
            <w:r>
              <w:rPr>
                <w:b/>
                <w:color w:val="2F5496"/>
              </w:rPr>
              <w:t>(Diapo 39)</w:t>
            </w:r>
            <w:r>
              <w:rPr>
                <w:color w:val="000000"/>
              </w:rPr>
              <w:t>.</w:t>
            </w:r>
          </w:p>
          <w:p w14:paraId="7F85E8C3" w14:textId="77777777" w:rsidR="002949A0" w:rsidRDefault="002949A0">
            <w:pPr>
              <w:pBdr>
                <w:top w:val="nil"/>
                <w:left w:val="nil"/>
                <w:bottom w:val="nil"/>
                <w:right w:val="nil"/>
                <w:between w:val="nil"/>
              </w:pBdr>
              <w:spacing w:after="0"/>
              <w:ind w:left="720"/>
              <w:rPr>
                <w:b/>
                <w:color w:val="000000"/>
              </w:rPr>
            </w:pPr>
          </w:p>
          <w:p w14:paraId="5448DDAB" w14:textId="74DFB1A9" w:rsidR="002949A0" w:rsidRPr="00BF23B7" w:rsidRDefault="00FD3544" w:rsidP="00BF23B7">
            <w:pPr>
              <w:numPr>
                <w:ilvl w:val="0"/>
                <w:numId w:val="2"/>
              </w:numPr>
              <w:pBdr>
                <w:top w:val="nil"/>
                <w:left w:val="nil"/>
                <w:bottom w:val="nil"/>
                <w:right w:val="nil"/>
                <w:between w:val="nil"/>
              </w:pBdr>
              <w:spacing w:line="275" w:lineRule="auto"/>
              <w:jc w:val="both"/>
              <w:rPr>
                <w:color w:val="000000"/>
              </w:rPr>
            </w:pPr>
            <w:r>
              <w:rPr>
                <w:b/>
                <w:color w:val="000000"/>
              </w:rPr>
              <w:t>Exemples </w:t>
            </w:r>
            <w:r>
              <w:rPr>
                <w:color w:val="000000"/>
              </w:rPr>
              <w:t xml:space="preserve">: Afficher des modèles inspirants, tels que </w:t>
            </w:r>
            <w:proofErr w:type="spellStart"/>
            <w:r>
              <w:rPr>
                <w:color w:val="000000"/>
              </w:rPr>
              <w:t>Rupi</w:t>
            </w:r>
            <w:proofErr w:type="spellEnd"/>
            <w:r>
              <w:rPr>
                <w:color w:val="000000"/>
              </w:rPr>
              <w:t xml:space="preserve"> Kaur et </w:t>
            </w:r>
            <w:proofErr w:type="spellStart"/>
            <w:r>
              <w:rPr>
                <w:color w:val="000000"/>
              </w:rPr>
              <w:t>LeBron</w:t>
            </w:r>
            <w:proofErr w:type="spellEnd"/>
            <w:r>
              <w:rPr>
                <w:color w:val="000000"/>
              </w:rPr>
              <w:t xml:space="preserve"> James, qui ont surmonté des obstacles sociaux et économiques. Demandez ensuite aux élèves s'ils ou elles connaissent d'autres exemples similaires </w:t>
            </w:r>
            <w:r>
              <w:rPr>
                <w:b/>
                <w:color w:val="2F5496"/>
              </w:rPr>
              <w:t>(Diapo 40)</w:t>
            </w:r>
            <w:r>
              <w:rPr>
                <w:color w:val="000000"/>
              </w:rPr>
              <w:t>.</w:t>
            </w:r>
          </w:p>
          <w:p w14:paraId="0A6CC7AF" w14:textId="37BDDB82" w:rsidR="002949A0" w:rsidRDefault="00FD3544">
            <w:pPr>
              <w:numPr>
                <w:ilvl w:val="0"/>
                <w:numId w:val="2"/>
              </w:numPr>
              <w:pBdr>
                <w:top w:val="nil"/>
                <w:left w:val="nil"/>
                <w:bottom w:val="nil"/>
                <w:right w:val="nil"/>
                <w:between w:val="nil"/>
              </w:pBdr>
              <w:spacing w:after="0" w:line="275" w:lineRule="auto"/>
              <w:jc w:val="both"/>
              <w:rPr>
                <w:color w:val="000000"/>
              </w:rPr>
            </w:pPr>
            <w:r>
              <w:rPr>
                <w:b/>
                <w:color w:val="000000"/>
              </w:rPr>
              <w:t>Question :</w:t>
            </w:r>
            <w:r>
              <w:rPr>
                <w:color w:val="000000"/>
              </w:rPr>
              <w:t xml:space="preserve"> Demander aux élèves si ces personnes sont des exceptions à la règle. En vous inspirant du célèbre slogan de Nike, "Just Do It", et de la manière dont la société contemporaine véhicule ce message, questionnez-les : </w:t>
            </w:r>
            <w:r w:rsidR="00724543">
              <w:rPr>
                <w:color w:val="000000"/>
              </w:rPr>
              <w:t xml:space="preserve">« </w:t>
            </w:r>
            <w:r>
              <w:rPr>
                <w:color w:val="000000"/>
              </w:rPr>
              <w:t>« </w:t>
            </w:r>
            <w:r w:rsidR="00724543">
              <w:rPr>
                <w:color w:val="000000"/>
              </w:rPr>
              <w:t>C</w:t>
            </w:r>
            <w:r>
              <w:rPr>
                <w:color w:val="000000"/>
              </w:rPr>
              <w:t xml:space="preserve">an </w:t>
            </w:r>
            <w:proofErr w:type="spellStart"/>
            <w:r>
              <w:rPr>
                <w:color w:val="000000"/>
              </w:rPr>
              <w:t>we</w:t>
            </w:r>
            <w:proofErr w:type="spellEnd"/>
            <w:r>
              <w:rPr>
                <w:color w:val="000000"/>
              </w:rPr>
              <w:t xml:space="preserve"> </w:t>
            </w:r>
            <w:proofErr w:type="spellStart"/>
            <w:r>
              <w:rPr>
                <w:color w:val="000000"/>
              </w:rPr>
              <w:t>really</w:t>
            </w:r>
            <w:proofErr w:type="spellEnd"/>
            <w:r>
              <w:rPr>
                <w:color w:val="000000"/>
              </w:rPr>
              <w:t xml:space="preserve"> </w:t>
            </w:r>
            <w:proofErr w:type="spellStart"/>
            <w:r>
              <w:rPr>
                <w:color w:val="000000"/>
              </w:rPr>
              <w:t>dot</w:t>
            </w:r>
            <w:proofErr w:type="spellEnd"/>
            <w:r>
              <w:rPr>
                <w:color w:val="000000"/>
              </w:rPr>
              <w:t xml:space="preserve"> </w:t>
            </w:r>
            <w:proofErr w:type="spellStart"/>
            <w:r>
              <w:rPr>
                <w:color w:val="000000"/>
              </w:rPr>
              <w:t>it</w:t>
            </w:r>
            <w:proofErr w:type="spellEnd"/>
            <w:r>
              <w:rPr>
                <w:color w:val="000000"/>
              </w:rPr>
              <w:t> » uniquement par volonté et détermination, ou y a-t-il d'autres facteurs en jeu ?</w:t>
            </w:r>
            <w:r w:rsidR="00724543">
              <w:rPr>
                <w:color w:val="000000"/>
              </w:rPr>
              <w:t xml:space="preserve"> »</w:t>
            </w:r>
            <w:r>
              <w:rPr>
                <w:b/>
                <w:color w:val="FF9933"/>
              </w:rPr>
              <w:t xml:space="preserve"> </w:t>
            </w:r>
            <w:r>
              <w:rPr>
                <w:b/>
                <w:color w:val="2F5496"/>
              </w:rPr>
              <w:t>(Diapo 41)</w:t>
            </w:r>
            <w:r>
              <w:rPr>
                <w:color w:val="000000"/>
              </w:rPr>
              <w:t xml:space="preserve">. </w:t>
            </w:r>
          </w:p>
          <w:p w14:paraId="0A3540E5" w14:textId="77777777" w:rsidR="002949A0" w:rsidRDefault="002949A0">
            <w:pPr>
              <w:pBdr>
                <w:top w:val="nil"/>
                <w:left w:val="nil"/>
                <w:bottom w:val="nil"/>
                <w:right w:val="nil"/>
                <w:between w:val="nil"/>
              </w:pBdr>
              <w:spacing w:after="0" w:line="275" w:lineRule="auto"/>
              <w:ind w:left="416"/>
              <w:jc w:val="both"/>
              <w:rPr>
                <w:color w:val="000000"/>
              </w:rPr>
            </w:pPr>
          </w:p>
          <w:p w14:paraId="38074D23" w14:textId="77777777" w:rsidR="002949A0" w:rsidRDefault="00FD3544">
            <w:pPr>
              <w:numPr>
                <w:ilvl w:val="0"/>
                <w:numId w:val="2"/>
              </w:numPr>
              <w:pBdr>
                <w:top w:val="nil"/>
                <w:left w:val="nil"/>
                <w:bottom w:val="nil"/>
                <w:right w:val="nil"/>
                <w:between w:val="nil"/>
              </w:pBdr>
              <w:spacing w:after="0" w:line="275" w:lineRule="auto"/>
              <w:jc w:val="both"/>
              <w:rPr>
                <w:color w:val="000000"/>
              </w:rPr>
            </w:pPr>
            <w:r>
              <w:rPr>
                <w:b/>
                <w:color w:val="000000"/>
              </w:rPr>
              <w:lastRenderedPageBreak/>
              <w:t xml:space="preserve">Discussion : </w:t>
            </w:r>
            <w:r>
              <w:rPr>
                <w:color w:val="000000"/>
              </w:rPr>
              <w:t>Revenir sur le "jeu du capital culturel". Mentionner aux élèves qu'il y avait d'autres facteurs influençant la réussite des défis par les personnages, et pas seulement le capital culturel. Demander aux élèves d'en nommer quelques-uns. Par exemple, le personnage 8 (Francis) avait un bon capital culturel mais n'a pas réussi à épeler le mot « fastidieux », car il mélangeait le « t » et le « d », ce qui pourrait indiquer une dyslexie.</w:t>
            </w:r>
          </w:p>
          <w:p w14:paraId="0B26F72F" w14:textId="77777777" w:rsidR="002949A0" w:rsidRDefault="00FD3544">
            <w:pPr>
              <w:pBdr>
                <w:top w:val="nil"/>
                <w:left w:val="nil"/>
                <w:bottom w:val="nil"/>
                <w:right w:val="nil"/>
                <w:between w:val="nil"/>
              </w:pBdr>
              <w:spacing w:after="0" w:line="275" w:lineRule="auto"/>
              <w:ind w:left="416"/>
              <w:jc w:val="both"/>
              <w:rPr>
                <w:color w:val="000000"/>
              </w:rPr>
            </w:pPr>
            <w:r>
              <w:rPr>
                <w:color w:val="000000"/>
              </w:rPr>
              <w:t xml:space="preserve">Aussi, certains personnages pouvaient avoir un capital culturel élevé et rencontrer des obstacles dus à d'autres facteurs, tels que leur origine, leur apparence ou leur sexe </w:t>
            </w:r>
            <w:r>
              <w:rPr>
                <w:b/>
                <w:color w:val="2F5496"/>
              </w:rPr>
              <w:t>(Diapo 42)</w:t>
            </w:r>
            <w:r>
              <w:rPr>
                <w:color w:val="000000"/>
              </w:rPr>
              <w:t>.</w:t>
            </w:r>
          </w:p>
          <w:p w14:paraId="70E573C7" w14:textId="77777777" w:rsidR="002949A0" w:rsidRDefault="002949A0">
            <w:pPr>
              <w:pBdr>
                <w:top w:val="nil"/>
                <w:left w:val="nil"/>
                <w:bottom w:val="nil"/>
                <w:right w:val="nil"/>
                <w:between w:val="nil"/>
              </w:pBdr>
              <w:spacing w:after="0" w:line="275" w:lineRule="auto"/>
              <w:ind w:left="416"/>
              <w:jc w:val="both"/>
              <w:rPr>
                <w:color w:val="000000"/>
              </w:rPr>
            </w:pPr>
          </w:p>
          <w:p w14:paraId="2D9791DB" w14:textId="2E63255E" w:rsidR="002949A0" w:rsidRDefault="00FD3544">
            <w:pPr>
              <w:numPr>
                <w:ilvl w:val="0"/>
                <w:numId w:val="2"/>
              </w:numPr>
              <w:pBdr>
                <w:top w:val="nil"/>
                <w:left w:val="nil"/>
                <w:bottom w:val="nil"/>
                <w:right w:val="nil"/>
                <w:between w:val="nil"/>
              </w:pBdr>
              <w:spacing w:after="0" w:line="275" w:lineRule="auto"/>
              <w:jc w:val="both"/>
              <w:rPr>
                <w:color w:val="000000"/>
              </w:rPr>
            </w:pPr>
            <w:r>
              <w:rPr>
                <w:b/>
                <w:color w:val="000000"/>
              </w:rPr>
              <w:t>Intersectionnalité</w:t>
            </w:r>
            <w:r>
              <w:rPr>
                <w:color w:val="000000"/>
              </w:rPr>
              <w:t> :</w:t>
            </w:r>
            <w:r w:rsidR="00724543">
              <w:rPr>
                <w:color w:val="000000"/>
              </w:rPr>
              <w:t xml:space="preserve"> </w:t>
            </w:r>
            <w:r>
              <w:rPr>
                <w:color w:val="000000"/>
              </w:rPr>
              <w:t>Afficher la roue de l’intersectionnalité</w:t>
            </w:r>
            <w:r>
              <w:rPr>
                <w:color w:val="000000"/>
                <w:vertAlign w:val="superscript"/>
              </w:rPr>
              <w:footnoteReference w:id="11"/>
            </w:r>
            <w:r>
              <w:rPr>
                <w:color w:val="000000"/>
              </w:rPr>
              <w:t xml:space="preserve"> </w:t>
            </w:r>
            <w:r>
              <w:rPr>
                <w:b/>
                <w:color w:val="2F5496"/>
              </w:rPr>
              <w:t xml:space="preserve">(Annexe F) </w:t>
            </w:r>
            <w:r>
              <w:rPr>
                <w:color w:val="000000"/>
              </w:rPr>
              <w:t xml:space="preserve">pour représenter la notion d'intersectionnalité. Cette image illustre comment différentes dimensions d’une personne se croisent et interagissent pour influencer les expériences vécues par chaque personne </w:t>
            </w:r>
            <w:r>
              <w:rPr>
                <w:b/>
                <w:color w:val="2F5496"/>
              </w:rPr>
              <w:t>(Diapo 43)</w:t>
            </w:r>
            <w:r>
              <w:rPr>
                <w:color w:val="000000"/>
              </w:rPr>
              <w:t>. Imaginer avec les élèves des scénarios présentant comment ces dimensions pourraient interagir dans des situations de la vie quotidienne (par exemple, dans le cadre du travail ou de l'école).</w:t>
            </w:r>
          </w:p>
          <w:p w14:paraId="2AC33C14" w14:textId="77777777" w:rsidR="002949A0" w:rsidRDefault="002949A0">
            <w:pPr>
              <w:pBdr>
                <w:top w:val="nil"/>
                <w:left w:val="nil"/>
                <w:bottom w:val="nil"/>
                <w:right w:val="nil"/>
                <w:between w:val="nil"/>
              </w:pBdr>
              <w:spacing w:after="0" w:line="275" w:lineRule="auto"/>
              <w:ind w:left="416"/>
              <w:jc w:val="both"/>
              <w:rPr>
                <w:color w:val="000000"/>
              </w:rPr>
            </w:pPr>
          </w:p>
          <w:p w14:paraId="1EE4839D" w14:textId="77777777" w:rsidR="002949A0" w:rsidRDefault="00FD3544">
            <w:pPr>
              <w:numPr>
                <w:ilvl w:val="0"/>
                <w:numId w:val="2"/>
              </w:numPr>
              <w:pBdr>
                <w:top w:val="nil"/>
                <w:left w:val="nil"/>
                <w:bottom w:val="nil"/>
                <w:right w:val="nil"/>
                <w:between w:val="nil"/>
              </w:pBdr>
              <w:spacing w:after="0" w:line="275" w:lineRule="auto"/>
              <w:jc w:val="both"/>
              <w:rPr>
                <w:color w:val="000000"/>
              </w:rPr>
            </w:pPr>
            <w:r>
              <w:rPr>
                <w:b/>
                <w:color w:val="000000"/>
              </w:rPr>
              <w:t>Solutions </w:t>
            </w:r>
            <w:r>
              <w:rPr>
                <w:color w:val="000000"/>
              </w:rPr>
              <w:t xml:space="preserve">: Penser en grand groupe, en discutant, à des solutions possibles pour éviter que les expériences vécues par les personnages dans le jeu ne se reproduisent pour de vraies personnes et pour des élèves à l'école. Présenter par la même occasion la militante et autrice </w:t>
            </w:r>
            <w:proofErr w:type="spellStart"/>
            <w:r>
              <w:rPr>
                <w:color w:val="000000"/>
              </w:rPr>
              <w:t>bell</w:t>
            </w:r>
            <w:proofErr w:type="spellEnd"/>
            <w:r>
              <w:rPr>
                <w:color w:val="000000"/>
              </w:rPr>
              <w:t xml:space="preserve"> </w:t>
            </w:r>
            <w:proofErr w:type="spellStart"/>
            <w:r>
              <w:rPr>
                <w:color w:val="000000"/>
              </w:rPr>
              <w:t>hooks</w:t>
            </w:r>
            <w:proofErr w:type="spellEnd"/>
            <w:r>
              <w:rPr>
                <w:color w:val="000000"/>
                <w:vertAlign w:val="superscript"/>
              </w:rPr>
              <w:footnoteReference w:id="12"/>
            </w:r>
            <w:r>
              <w:rPr>
                <w:color w:val="000000"/>
              </w:rPr>
              <w:t xml:space="preserve">, ainsi que les solutions qu'elle propose pour promouvoir l'inclusivité et l'équité </w:t>
            </w:r>
            <w:r>
              <w:rPr>
                <w:b/>
                <w:color w:val="2F5496"/>
              </w:rPr>
              <w:t>(Diapo 44)</w:t>
            </w:r>
            <w:r>
              <w:rPr>
                <w:color w:val="2F5496"/>
              </w:rPr>
              <w:t>.</w:t>
            </w:r>
          </w:p>
          <w:p w14:paraId="3F99E84A" w14:textId="77777777" w:rsidR="002949A0" w:rsidRDefault="002949A0">
            <w:pPr>
              <w:pBdr>
                <w:top w:val="nil"/>
                <w:left w:val="nil"/>
                <w:bottom w:val="nil"/>
                <w:right w:val="nil"/>
                <w:between w:val="nil"/>
              </w:pBdr>
              <w:spacing w:after="0"/>
              <w:ind w:left="720"/>
              <w:rPr>
                <w:b/>
                <w:color w:val="000000"/>
              </w:rPr>
            </w:pPr>
          </w:p>
          <w:p w14:paraId="0E7138F3" w14:textId="77777777" w:rsidR="002949A0" w:rsidRDefault="00FD3544">
            <w:pPr>
              <w:numPr>
                <w:ilvl w:val="0"/>
                <w:numId w:val="2"/>
              </w:numPr>
              <w:pBdr>
                <w:top w:val="nil"/>
                <w:left w:val="nil"/>
                <w:bottom w:val="nil"/>
                <w:right w:val="nil"/>
                <w:between w:val="nil"/>
              </w:pBdr>
              <w:spacing w:after="0"/>
              <w:jc w:val="both"/>
              <w:rPr>
                <w:b/>
                <w:color w:val="000000"/>
              </w:rPr>
            </w:pPr>
            <w:r>
              <w:rPr>
                <w:b/>
                <w:color w:val="000000"/>
              </w:rPr>
              <w:t xml:space="preserve">Activité inspirée des méthodes </w:t>
            </w:r>
            <w:r>
              <w:rPr>
                <w:b/>
                <w:i/>
                <w:color w:val="000000"/>
              </w:rPr>
              <w:t xml:space="preserve">du théâtre des </w:t>
            </w:r>
            <w:proofErr w:type="spellStart"/>
            <w:r>
              <w:rPr>
                <w:b/>
                <w:i/>
                <w:color w:val="000000"/>
              </w:rPr>
              <w:t>opprimé.e.s</w:t>
            </w:r>
            <w:proofErr w:type="spellEnd"/>
            <w:r>
              <w:rPr>
                <w:b/>
                <w:color w:val="000000"/>
              </w:rPr>
              <w:t xml:space="preserve"> :</w:t>
            </w:r>
            <w:r>
              <w:rPr>
                <w:color w:val="000000"/>
              </w:rPr>
              <w:t xml:space="preserve"> Pour cette activité, l’objectif est de s’inspirer des principes du </w:t>
            </w:r>
            <w:r>
              <w:rPr>
                <w:i/>
                <w:color w:val="000000"/>
              </w:rPr>
              <w:t xml:space="preserve">théâtre des </w:t>
            </w:r>
            <w:proofErr w:type="spellStart"/>
            <w:r>
              <w:rPr>
                <w:i/>
                <w:color w:val="000000"/>
              </w:rPr>
              <w:t>opprimé.e.s</w:t>
            </w:r>
            <w:proofErr w:type="spellEnd"/>
            <w:r>
              <w:rPr>
                <w:color w:val="000000"/>
                <w:vertAlign w:val="superscript"/>
              </w:rPr>
              <w:footnoteReference w:id="13"/>
            </w:r>
            <w:r>
              <w:rPr>
                <w:color w:val="000000"/>
              </w:rPr>
              <w:t xml:space="preserve"> afin d’approfondir et de mettre en pratiques les concepts clés abordés en cours, tels que la culture dominante, la sous-culture, le capital culturel, l’émancipation, l’agentivité, etc. Les élèves devront mettre en pratique ces notions à travers des mises en situation spécifiques. Les détails de cette activité se retrouvent sur la fiche même de l’activité </w:t>
            </w:r>
            <w:r>
              <w:rPr>
                <w:b/>
                <w:color w:val="2F5496"/>
              </w:rPr>
              <w:t>(Annexe G)</w:t>
            </w:r>
            <w:r>
              <w:rPr>
                <w:color w:val="000000"/>
              </w:rPr>
              <w:t>.</w:t>
            </w:r>
          </w:p>
          <w:p w14:paraId="28A2827E" w14:textId="77777777" w:rsidR="002949A0" w:rsidRDefault="002949A0">
            <w:pPr>
              <w:pBdr>
                <w:top w:val="nil"/>
                <w:left w:val="nil"/>
                <w:bottom w:val="nil"/>
                <w:right w:val="nil"/>
                <w:between w:val="nil"/>
              </w:pBdr>
              <w:spacing w:after="0"/>
              <w:ind w:left="416"/>
              <w:jc w:val="both"/>
              <w:rPr>
                <w:color w:val="000000"/>
              </w:rPr>
            </w:pPr>
          </w:p>
          <w:p w14:paraId="7D74E8CC" w14:textId="77777777" w:rsidR="002949A0" w:rsidRDefault="00FD3544">
            <w:pPr>
              <w:pBdr>
                <w:top w:val="nil"/>
                <w:left w:val="nil"/>
                <w:bottom w:val="nil"/>
                <w:right w:val="nil"/>
                <w:between w:val="nil"/>
              </w:pBdr>
              <w:spacing w:after="0"/>
              <w:ind w:left="416"/>
              <w:jc w:val="both"/>
              <w:rPr>
                <w:color w:val="000000"/>
              </w:rPr>
            </w:pPr>
            <w:r>
              <w:rPr>
                <w:b/>
                <w:color w:val="FF0000"/>
              </w:rPr>
              <w:t xml:space="preserve">Pertinence de cette </w:t>
            </w:r>
            <w:r>
              <w:rPr>
                <w:b/>
                <w:color w:val="ED0000"/>
              </w:rPr>
              <w:t>activité</w:t>
            </w:r>
            <w:r>
              <w:rPr>
                <w:color w:val="ED0000"/>
              </w:rPr>
              <w:t xml:space="preserve"> : </w:t>
            </w:r>
            <w:r>
              <w:rPr>
                <w:color w:val="000000"/>
              </w:rPr>
              <w:t xml:space="preserve">Le théâtre des </w:t>
            </w:r>
            <w:proofErr w:type="spellStart"/>
            <w:r>
              <w:rPr>
                <w:color w:val="000000"/>
              </w:rPr>
              <w:t>opprimé.e.s</w:t>
            </w:r>
            <w:proofErr w:type="spellEnd"/>
            <w:r>
              <w:rPr>
                <w:color w:val="000000"/>
              </w:rPr>
              <w:t>, en tant que méthode innovante, a été conçu pour interroger et remettre en cause les structures et les conventions du théâtre traditionnel, ainsi que les normes culturelles dominantes</w:t>
            </w:r>
            <w:r>
              <w:rPr>
                <w:color w:val="000000"/>
                <w:vertAlign w:val="superscript"/>
              </w:rPr>
              <w:footnoteReference w:id="14"/>
            </w:r>
            <w:r>
              <w:rPr>
                <w:color w:val="000000"/>
              </w:rPr>
              <w:t>. Contrairement au théâtre classique, le théâtre des opprimé.e.</w:t>
            </w:r>
            <w:proofErr w:type="spellStart"/>
            <w:r>
              <w:rPr>
                <w:color w:val="000000"/>
              </w:rPr>
              <w:t>s engage</w:t>
            </w:r>
            <w:proofErr w:type="spellEnd"/>
            <w:r>
              <w:rPr>
                <w:color w:val="000000"/>
              </w:rPr>
              <w:t xml:space="preserve"> le public de manière active. Cette approche conteste la passivité habituelle devant une pièce de théâtre et permet une exploration approfondie des mécanismes d'oppression et des dynamiques de pouvoir. Ce choix d'activité offre ainsi une opportunité de concrétiser et d'illustrer les concepts théoriques abordés en classe en créant un espace pour une réflexion critique et commune.</w:t>
            </w:r>
          </w:p>
          <w:p w14:paraId="0913CFD3" w14:textId="77777777" w:rsidR="002949A0" w:rsidRDefault="002949A0">
            <w:pPr>
              <w:pBdr>
                <w:top w:val="nil"/>
                <w:left w:val="nil"/>
                <w:bottom w:val="nil"/>
                <w:right w:val="nil"/>
                <w:between w:val="nil"/>
              </w:pBdr>
              <w:spacing w:after="0"/>
              <w:ind w:left="416"/>
              <w:jc w:val="both"/>
              <w:rPr>
                <w:color w:val="000000"/>
                <w:highlight w:val="red"/>
              </w:rPr>
            </w:pPr>
          </w:p>
          <w:p w14:paraId="581892EA" w14:textId="77777777" w:rsidR="002949A0" w:rsidRDefault="00FD3544">
            <w:pPr>
              <w:numPr>
                <w:ilvl w:val="0"/>
                <w:numId w:val="2"/>
              </w:numPr>
              <w:pBdr>
                <w:top w:val="nil"/>
                <w:left w:val="nil"/>
                <w:bottom w:val="nil"/>
                <w:right w:val="nil"/>
                <w:between w:val="nil"/>
              </w:pBdr>
              <w:spacing w:after="0"/>
              <w:jc w:val="both"/>
              <w:rPr>
                <w:b/>
                <w:color w:val="000000"/>
              </w:rPr>
            </w:pPr>
            <w:r>
              <w:rPr>
                <w:b/>
                <w:color w:val="000000"/>
              </w:rPr>
              <w:t xml:space="preserve">Évaluation (C2) :  </w:t>
            </w:r>
            <w:r>
              <w:rPr>
                <w:color w:val="000000"/>
              </w:rPr>
              <w:t xml:space="preserve">Répondre à une question éthique en mobilisant des valeurs et des repères pertinents.  </w:t>
            </w:r>
          </w:p>
          <w:p w14:paraId="41C8FCDD" w14:textId="77777777" w:rsidR="002949A0" w:rsidRDefault="00FD3544">
            <w:pPr>
              <w:pBdr>
                <w:top w:val="nil"/>
                <w:left w:val="nil"/>
                <w:bottom w:val="nil"/>
                <w:right w:val="nil"/>
                <w:between w:val="nil"/>
              </w:pBdr>
              <w:spacing w:after="0"/>
              <w:ind w:left="416"/>
              <w:jc w:val="both"/>
              <w:rPr>
                <w:b/>
                <w:color w:val="000000"/>
              </w:rPr>
            </w:pPr>
            <w:r>
              <w:rPr>
                <w:color w:val="000000"/>
              </w:rPr>
              <w:t>Voici une liste de questions possibles à évaluer :</w:t>
            </w:r>
          </w:p>
          <w:p w14:paraId="56998CAA" w14:textId="77777777" w:rsidR="002949A0" w:rsidRDefault="002949A0">
            <w:pPr>
              <w:pBdr>
                <w:top w:val="nil"/>
                <w:left w:val="nil"/>
                <w:bottom w:val="nil"/>
                <w:right w:val="nil"/>
                <w:between w:val="nil"/>
              </w:pBdr>
              <w:spacing w:after="0"/>
              <w:ind w:left="416"/>
              <w:jc w:val="both"/>
              <w:rPr>
                <w:b/>
                <w:color w:val="000000"/>
              </w:rPr>
            </w:pPr>
          </w:p>
          <w:p w14:paraId="5BB6428D" w14:textId="77777777" w:rsidR="002949A0" w:rsidRDefault="00FD3544">
            <w:pPr>
              <w:numPr>
                <w:ilvl w:val="0"/>
                <w:numId w:val="1"/>
              </w:numPr>
              <w:pBdr>
                <w:top w:val="nil"/>
                <w:left w:val="nil"/>
                <w:bottom w:val="nil"/>
                <w:right w:val="nil"/>
                <w:between w:val="nil"/>
              </w:pBdr>
              <w:spacing w:after="0"/>
              <w:jc w:val="both"/>
              <w:rPr>
                <w:color w:val="000000"/>
              </w:rPr>
            </w:pPr>
            <w:r>
              <w:rPr>
                <w:color w:val="000000"/>
              </w:rPr>
              <w:t>Quels sont les défis éthiques liés à la mise en place de programmes éducatifs visant à réduire les inégalités, et comment les surmonter pour garantir une véritable équité ?</w:t>
            </w:r>
          </w:p>
          <w:p w14:paraId="7A241188" w14:textId="77777777" w:rsidR="002949A0" w:rsidRDefault="00FD3544">
            <w:pPr>
              <w:numPr>
                <w:ilvl w:val="0"/>
                <w:numId w:val="1"/>
              </w:numPr>
              <w:pBdr>
                <w:top w:val="nil"/>
                <w:left w:val="nil"/>
                <w:bottom w:val="nil"/>
                <w:right w:val="nil"/>
                <w:between w:val="nil"/>
              </w:pBdr>
              <w:spacing w:after="0"/>
              <w:jc w:val="both"/>
              <w:rPr>
                <w:color w:val="000000"/>
              </w:rPr>
            </w:pPr>
            <w:r>
              <w:rPr>
                <w:color w:val="000000"/>
              </w:rPr>
              <w:t>Quelle est l’influence de l’école sur les dynamiques sociales et culturelles ?</w:t>
            </w:r>
          </w:p>
          <w:p w14:paraId="54C18757" w14:textId="77777777" w:rsidR="002949A0" w:rsidRDefault="00FD3544">
            <w:pPr>
              <w:numPr>
                <w:ilvl w:val="0"/>
                <w:numId w:val="1"/>
              </w:numPr>
              <w:pBdr>
                <w:top w:val="nil"/>
                <w:left w:val="nil"/>
                <w:bottom w:val="nil"/>
                <w:right w:val="nil"/>
                <w:between w:val="nil"/>
              </w:pBdr>
              <w:spacing w:after="0"/>
              <w:jc w:val="both"/>
              <w:rPr>
                <w:color w:val="000000"/>
              </w:rPr>
            </w:pPr>
            <w:r>
              <w:rPr>
                <w:color w:val="000000"/>
              </w:rPr>
              <w:t xml:space="preserve">L'école est-elle un outil d'émancipation ? Expliquez votre réponse en vous appuyant sur les contenus abordés dans les cours. Si nécessaire, vous pouvez nuancer votre point de vue. </w:t>
            </w:r>
          </w:p>
          <w:p w14:paraId="1F71F50A" w14:textId="77777777" w:rsidR="002949A0" w:rsidRDefault="00FD3544">
            <w:pPr>
              <w:numPr>
                <w:ilvl w:val="0"/>
                <w:numId w:val="1"/>
              </w:numPr>
              <w:pBdr>
                <w:top w:val="nil"/>
                <w:left w:val="nil"/>
                <w:bottom w:val="nil"/>
                <w:right w:val="nil"/>
                <w:between w:val="nil"/>
              </w:pBdr>
              <w:spacing w:after="0"/>
              <w:jc w:val="both"/>
              <w:rPr>
                <w:color w:val="000000"/>
              </w:rPr>
            </w:pPr>
            <w:r>
              <w:rPr>
                <w:color w:val="000000"/>
              </w:rPr>
              <w:t>L'école contribue-t-elle à reproduire des inégalités sociales ? Expliquez en quoi et comment cela peut se produire. Justifiez votre réponse en vous appuyant sur les contenus abordés dans les cours.</w:t>
            </w:r>
          </w:p>
          <w:p w14:paraId="71D251B4" w14:textId="77777777" w:rsidR="002949A0" w:rsidRDefault="002949A0">
            <w:pPr>
              <w:pBdr>
                <w:top w:val="nil"/>
                <w:left w:val="nil"/>
                <w:bottom w:val="nil"/>
                <w:right w:val="nil"/>
                <w:between w:val="nil"/>
              </w:pBdr>
              <w:spacing w:after="0"/>
              <w:ind w:left="416"/>
              <w:jc w:val="both"/>
              <w:rPr>
                <w:b/>
                <w:color w:val="000000"/>
                <w:highlight w:val="red"/>
              </w:rPr>
            </w:pPr>
          </w:p>
          <w:p w14:paraId="2C9554C3" w14:textId="77777777" w:rsidR="002949A0" w:rsidRDefault="002949A0">
            <w:pPr>
              <w:pBdr>
                <w:top w:val="nil"/>
                <w:left w:val="nil"/>
                <w:bottom w:val="nil"/>
                <w:right w:val="nil"/>
                <w:between w:val="nil"/>
              </w:pBdr>
              <w:spacing w:after="0"/>
              <w:ind w:left="416"/>
              <w:jc w:val="both"/>
              <w:rPr>
                <w:b/>
                <w:color w:val="000000"/>
                <w:highlight w:val="red"/>
              </w:rPr>
            </w:pPr>
          </w:p>
          <w:p w14:paraId="77E185BE" w14:textId="77777777" w:rsidR="002949A0" w:rsidRDefault="00FD3544">
            <w:pPr>
              <w:pBdr>
                <w:top w:val="nil"/>
                <w:left w:val="nil"/>
                <w:bottom w:val="nil"/>
                <w:right w:val="nil"/>
                <w:between w:val="nil"/>
              </w:pBdr>
              <w:spacing w:line="275" w:lineRule="auto"/>
              <w:ind w:left="416"/>
              <w:jc w:val="both"/>
              <w:rPr>
                <w:b/>
                <w:color w:val="000000"/>
              </w:rPr>
            </w:pPr>
            <w:r>
              <w:rPr>
                <w:b/>
                <w:color w:val="000000"/>
              </w:rPr>
              <w:t>Activité pédagogique facultative :</w:t>
            </w:r>
            <w:r>
              <w:rPr>
                <w:b/>
                <w:color w:val="000000"/>
                <w:sz w:val="32"/>
                <w:szCs w:val="32"/>
              </w:rPr>
              <w:t xml:space="preserve"> </w:t>
            </w:r>
            <w:hyperlink r:id="rId15">
              <w:r>
                <w:rPr>
                  <w:b/>
                  <w:color w:val="0563C1"/>
                  <w:u w:val="single"/>
                </w:rPr>
                <w:t>Le chemin de la guérison - ONF</w:t>
              </w:r>
            </w:hyperlink>
            <w:r>
              <w:rPr>
                <w:b/>
                <w:color w:val="000000"/>
                <w:vertAlign w:val="superscript"/>
              </w:rPr>
              <w:footnoteReference w:id="15"/>
            </w:r>
            <w:r>
              <w:rPr>
                <w:b/>
                <w:color w:val="000000"/>
              </w:rPr>
              <w:t xml:space="preserve"> . </w:t>
            </w:r>
            <w:r>
              <w:rPr>
                <w:color w:val="000000"/>
              </w:rPr>
              <w:t>Présenter ce documentaire sur la communauté Crie. Inviter les élèves à identifier les éléments du documentaire qui appartiennent à la culture dominante ainsi que ceux qui sont issus de la culture autochtone crie. Engager ensuite une discussion réfléchie sur les éléments observés dans le documentaire, en les mettant en lien avec les contenus abordés dans les derniers cours.</w:t>
            </w:r>
            <w:r>
              <w:rPr>
                <w:b/>
                <w:color w:val="000000"/>
              </w:rPr>
              <w:t xml:space="preserve"> </w:t>
            </w:r>
          </w:p>
          <w:p w14:paraId="21D4C01D" w14:textId="77777777" w:rsidR="002949A0" w:rsidRDefault="002949A0">
            <w:pPr>
              <w:spacing w:line="275" w:lineRule="auto"/>
              <w:jc w:val="both"/>
              <w:rPr>
                <w:b/>
              </w:rPr>
            </w:pPr>
          </w:p>
        </w:tc>
      </w:tr>
      <w:tr w:rsidR="002949A0" w14:paraId="29CA2849" w14:textId="77777777">
        <w:trPr>
          <w:trHeight w:val="350"/>
        </w:trPr>
        <w:tc>
          <w:tcPr>
            <w:tcW w:w="10490" w:type="dxa"/>
            <w:shd w:val="clear" w:color="auto" w:fill="E7E6E6"/>
            <w:vAlign w:val="bottom"/>
          </w:tcPr>
          <w:p w14:paraId="5B584F2C" w14:textId="77777777" w:rsidR="002949A0" w:rsidRDefault="00FD3544">
            <w:pPr>
              <w:spacing w:line="275" w:lineRule="auto"/>
              <w:jc w:val="center"/>
              <w:rPr>
                <w:b/>
                <w:sz w:val="36"/>
                <w:szCs w:val="36"/>
              </w:rPr>
            </w:pPr>
            <w:r>
              <w:rPr>
                <w:b/>
                <w:sz w:val="36"/>
                <w:szCs w:val="36"/>
              </w:rPr>
              <w:lastRenderedPageBreak/>
              <w:t>Réinvestissement possible </w:t>
            </w:r>
          </w:p>
          <w:p w14:paraId="65E23382" w14:textId="77777777" w:rsidR="002949A0" w:rsidRDefault="00FD3544">
            <w:pPr>
              <w:spacing w:line="275" w:lineRule="auto"/>
              <w:jc w:val="both"/>
            </w:pPr>
            <w:r>
              <w:t>La SAE</w:t>
            </w:r>
            <w:r>
              <w:rPr>
                <w:i/>
              </w:rPr>
              <w:t xml:space="preserve"> </w:t>
            </w:r>
            <w:r>
              <w:t>sur les</w:t>
            </w:r>
            <w:r>
              <w:rPr>
                <w:i/>
              </w:rPr>
              <w:t xml:space="preserve"> inégalités et les rapports de pouvoir</w:t>
            </w:r>
            <w:r>
              <w:t xml:space="preserve">, disponible sur le site du Collectif. </w:t>
            </w:r>
          </w:p>
          <w:p w14:paraId="31DEEAFA" w14:textId="77777777" w:rsidR="002949A0" w:rsidRDefault="00FD3544">
            <w:pPr>
              <w:spacing w:line="275" w:lineRule="auto"/>
              <w:jc w:val="both"/>
            </w:pPr>
            <w:r>
              <w:t>Initialement conçue pour des élèves de secondaire 5, cette SAE se révèle également pertinente pour des élèves de 4e secondaire, car elle approfondit des sujets souvent survolés dans cette SAE, notamment la notion d'intersectionnalité. En mettant en lumière la diversité et l'intersection des discriminations, cette approche permet d'élargir la compréhension des mécanismes de discrimination moins abordés ici.</w:t>
            </w:r>
          </w:p>
          <w:p w14:paraId="4FE9501C" w14:textId="77777777" w:rsidR="002949A0" w:rsidRDefault="00FD3544">
            <w:pPr>
              <w:spacing w:line="275" w:lineRule="auto"/>
              <w:jc w:val="both"/>
            </w:pPr>
            <w:r>
              <w:t>De plus, La SAE</w:t>
            </w:r>
            <w:r>
              <w:rPr>
                <w:i/>
              </w:rPr>
              <w:t xml:space="preserve"> </w:t>
            </w:r>
            <w:r>
              <w:t>sur les</w:t>
            </w:r>
            <w:r>
              <w:rPr>
                <w:i/>
              </w:rPr>
              <w:t xml:space="preserve"> inégalités et les rapports de pouvoir</w:t>
            </w:r>
            <w:r>
              <w:t xml:space="preserve"> s'intéresse à la manière dont les individus peuvent naviguer dans ces défis, tout en questionnant l’idée que l'agentivité est réellement une solution efficace pour transcender les limitations imposées par le déterminisme social.</w:t>
            </w:r>
          </w:p>
          <w:p w14:paraId="44B33377" w14:textId="77777777" w:rsidR="002949A0" w:rsidRDefault="002949A0">
            <w:pPr>
              <w:spacing w:line="275" w:lineRule="auto"/>
              <w:jc w:val="both"/>
              <w:rPr>
                <w:b/>
                <w:sz w:val="28"/>
                <w:szCs w:val="28"/>
              </w:rPr>
            </w:pPr>
          </w:p>
        </w:tc>
      </w:tr>
    </w:tbl>
    <w:p w14:paraId="4B783A02" w14:textId="77777777" w:rsidR="002949A0" w:rsidRDefault="002949A0">
      <w:pPr>
        <w:rPr>
          <w:sz w:val="36"/>
          <w:szCs w:val="36"/>
        </w:rPr>
      </w:pPr>
    </w:p>
    <w:p w14:paraId="5E562F20" w14:textId="77777777" w:rsidR="002949A0" w:rsidRDefault="002949A0">
      <w:pPr>
        <w:rPr>
          <w:sz w:val="36"/>
          <w:szCs w:val="36"/>
        </w:rPr>
      </w:pPr>
    </w:p>
    <w:p w14:paraId="2B5AB4A5" w14:textId="77777777" w:rsidR="002949A0" w:rsidRDefault="002949A0">
      <w:pPr>
        <w:tabs>
          <w:tab w:val="left" w:pos="6614"/>
        </w:tabs>
        <w:jc w:val="both"/>
        <w:rPr>
          <w:b/>
          <w:color w:val="0563C1"/>
          <w:sz w:val="24"/>
          <w:szCs w:val="24"/>
          <w:u w:val="single"/>
        </w:rPr>
      </w:pPr>
    </w:p>
    <w:p w14:paraId="51D0E57F" w14:textId="77777777" w:rsidR="002949A0" w:rsidRDefault="002949A0">
      <w:pPr>
        <w:tabs>
          <w:tab w:val="left" w:pos="6614"/>
        </w:tabs>
        <w:jc w:val="both"/>
        <w:rPr>
          <w:b/>
          <w:color w:val="0563C1"/>
          <w:sz w:val="24"/>
          <w:szCs w:val="24"/>
          <w:u w:val="single"/>
        </w:rPr>
      </w:pPr>
    </w:p>
    <w:p w14:paraId="6D9A6793" w14:textId="77777777" w:rsidR="002949A0" w:rsidRDefault="002949A0">
      <w:pPr>
        <w:tabs>
          <w:tab w:val="left" w:pos="6614"/>
        </w:tabs>
        <w:jc w:val="both"/>
        <w:rPr>
          <w:b/>
          <w:color w:val="0563C1"/>
          <w:sz w:val="24"/>
          <w:szCs w:val="24"/>
          <w:u w:val="single"/>
        </w:rPr>
        <w:sectPr w:rsidR="002949A0">
          <w:headerReference w:type="default" r:id="rId16"/>
          <w:pgSz w:w="12240" w:h="15840"/>
          <w:pgMar w:top="1418" w:right="1418" w:bottom="1418" w:left="1418" w:header="709" w:footer="709" w:gutter="0"/>
          <w:pgNumType w:start="1"/>
          <w:cols w:space="720"/>
        </w:sectPr>
      </w:pPr>
    </w:p>
    <w:p w14:paraId="57845289" w14:textId="77777777" w:rsidR="002949A0" w:rsidRDefault="002949A0">
      <w:pPr>
        <w:tabs>
          <w:tab w:val="left" w:pos="6614"/>
        </w:tabs>
        <w:jc w:val="both"/>
        <w:rPr>
          <w:b/>
          <w:color w:val="0563C1"/>
          <w:sz w:val="24"/>
          <w:szCs w:val="24"/>
          <w:u w:val="single"/>
        </w:rPr>
      </w:pPr>
    </w:p>
    <w:p w14:paraId="0A5F2D69" w14:textId="77777777" w:rsidR="002949A0" w:rsidRDefault="00FD3544">
      <w:pPr>
        <w:tabs>
          <w:tab w:val="left" w:pos="6614"/>
        </w:tabs>
        <w:jc w:val="both"/>
        <w:rPr>
          <w:b/>
          <w:color w:val="0563C1"/>
          <w:sz w:val="24"/>
          <w:szCs w:val="24"/>
          <w:u w:val="single"/>
        </w:rPr>
      </w:pPr>
      <w:r>
        <w:rPr>
          <w:noProof/>
        </w:rPr>
        <mc:AlternateContent>
          <mc:Choice Requires="wpg">
            <w:drawing>
              <wp:anchor distT="45720" distB="45720" distL="114300" distR="114300" simplePos="0" relativeHeight="251659264" behindDoc="0" locked="0" layoutInCell="1" hidden="0" allowOverlap="1" wp14:anchorId="47826C65" wp14:editId="71853CB9">
                <wp:simplePos x="0" y="0"/>
                <wp:positionH relativeFrom="column">
                  <wp:posOffset>-888999</wp:posOffset>
                </wp:positionH>
                <wp:positionV relativeFrom="paragraph">
                  <wp:posOffset>-144779</wp:posOffset>
                </wp:positionV>
                <wp:extent cx="5763714" cy="780233"/>
                <wp:effectExtent l="0" t="0" r="0" b="0"/>
                <wp:wrapNone/>
                <wp:docPr id="2140052928" name="Rectangle 2140052928"/>
                <wp:cNvGraphicFramePr/>
                <a:graphic xmlns:a="http://schemas.openxmlformats.org/drawingml/2006/main">
                  <a:graphicData uri="http://schemas.microsoft.com/office/word/2010/wordprocessingShape">
                    <wps:wsp>
                      <wps:cNvSpPr/>
                      <wps:spPr>
                        <a:xfrm>
                          <a:off x="2468906" y="3394646"/>
                          <a:ext cx="5754189" cy="770708"/>
                        </a:xfrm>
                        <a:prstGeom prst="rect">
                          <a:avLst/>
                        </a:prstGeom>
                        <a:solidFill>
                          <a:schemeClr val="accent5"/>
                        </a:solidFill>
                        <a:ln w="9525" cap="flat" cmpd="sng">
                          <a:solidFill>
                            <a:schemeClr val="accent5"/>
                          </a:solidFill>
                          <a:prstDash val="solid"/>
                          <a:miter lim="800000"/>
                          <a:headEnd type="none" w="sm" len="sm"/>
                          <a:tailEnd type="none" w="sm" len="sm"/>
                        </a:ln>
                      </wps:spPr>
                      <wps:txbx>
                        <w:txbxContent>
                          <w:p w14:paraId="0F423F54" w14:textId="77777777" w:rsidR="002949A0" w:rsidRDefault="00FD3544">
                            <w:pPr>
                              <w:spacing w:line="275" w:lineRule="auto"/>
                              <w:jc w:val="center"/>
                              <w:textDirection w:val="btLr"/>
                            </w:pPr>
                            <w:r>
                              <w:rPr>
                                <w:b/>
                                <w:color w:val="000000"/>
                                <w:sz w:val="40"/>
                              </w:rPr>
                              <w:t xml:space="preserve">BIBLIOGRAPHIE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-888999</wp:posOffset>
                </wp:positionH>
                <wp:positionV relativeFrom="paragraph">
                  <wp:posOffset>-144779</wp:posOffset>
                </wp:positionV>
                <wp:extent cx="5763714" cy="780233"/>
                <wp:effectExtent b="0" l="0" r="0" t="0"/>
                <wp:wrapNone/>
                <wp:docPr id="2140052928"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763714" cy="780233"/>
                        </a:xfrm>
                        <a:prstGeom prst="rect"/>
                        <a:ln/>
                      </pic:spPr>
                    </pic:pic>
                  </a:graphicData>
                </a:graphic>
              </wp:anchor>
            </w:drawing>
          </mc:Fallback>
        </mc:AlternateContent>
      </w:r>
    </w:p>
    <w:p w14:paraId="005DCE3E" w14:textId="77777777" w:rsidR="002949A0" w:rsidRDefault="002949A0">
      <w:pPr>
        <w:tabs>
          <w:tab w:val="left" w:pos="6614"/>
        </w:tabs>
        <w:jc w:val="both"/>
        <w:rPr>
          <w:b/>
          <w:color w:val="0563C1"/>
          <w:sz w:val="24"/>
          <w:szCs w:val="24"/>
          <w:u w:val="single"/>
        </w:rPr>
      </w:pPr>
    </w:p>
    <w:p w14:paraId="29BDE3BC" w14:textId="77777777" w:rsidR="002949A0" w:rsidRDefault="002949A0">
      <w:pPr>
        <w:tabs>
          <w:tab w:val="left" w:pos="6614"/>
        </w:tabs>
        <w:jc w:val="both"/>
        <w:rPr>
          <w:b/>
          <w:color w:val="000000"/>
          <w:sz w:val="24"/>
          <w:szCs w:val="24"/>
          <w:u w:val="single"/>
        </w:rPr>
      </w:pPr>
    </w:p>
    <w:p w14:paraId="74D67A83" w14:textId="77777777" w:rsidR="002949A0" w:rsidRDefault="00FD3544">
      <w:pPr>
        <w:tabs>
          <w:tab w:val="left" w:pos="6614"/>
        </w:tabs>
        <w:jc w:val="both"/>
        <w:rPr>
          <w:b/>
          <w:color w:val="000000"/>
          <w:sz w:val="24"/>
          <w:szCs w:val="24"/>
        </w:rPr>
      </w:pPr>
      <w:r>
        <w:rPr>
          <w:b/>
          <w:color w:val="000000"/>
          <w:sz w:val="24"/>
          <w:szCs w:val="24"/>
        </w:rPr>
        <w:t xml:space="preserve">Articles et revues :  </w:t>
      </w:r>
    </w:p>
    <w:p w14:paraId="25AB4A32" w14:textId="77777777" w:rsidR="00DD5C93" w:rsidRDefault="00DD5C93" w:rsidP="00DD5C93">
      <w:pPr>
        <w:tabs>
          <w:tab w:val="left" w:pos="6614"/>
        </w:tabs>
      </w:pPr>
      <w:r>
        <w:t xml:space="preserve">Bourdieu, Pierre. « Les trois états du capital culturel ». Actes de la recherche en sciences sociales, vol. 30, novembre 1979, pp. 3-6. DOI : </w:t>
      </w:r>
      <w:hyperlink r:id="rId18">
        <w:r>
          <w:rPr>
            <w:color w:val="0563C1"/>
            <w:u w:val="single"/>
          </w:rPr>
          <w:t>10.3406/arss.1979.2654</w:t>
        </w:r>
      </w:hyperlink>
      <w:r>
        <w:t>.</w:t>
      </w:r>
    </w:p>
    <w:p w14:paraId="5718C551" w14:textId="77777777" w:rsidR="00DD5C93" w:rsidRDefault="00DD5C93" w:rsidP="00DD5C93">
      <w:pPr>
        <w:tabs>
          <w:tab w:val="left" w:pos="6614"/>
        </w:tabs>
        <w:spacing w:after="0"/>
      </w:pPr>
      <w:r>
        <w:t xml:space="preserve">Coudray, Sophie. « Du ‘je’ au ‘nous’. Le Théâtre de l’opprimé comme grammaire d’une parole collective ». </w:t>
      </w:r>
      <w:r>
        <w:rPr>
          <w:i/>
        </w:rPr>
        <w:t>Éducation et socialisation</w:t>
      </w:r>
      <w:r>
        <w:t xml:space="preserve">, les Cahiers du CERFEE, vol. 57, 2020. DOI : </w:t>
      </w:r>
      <w:hyperlink r:id="rId19">
        <w:r>
          <w:rPr>
            <w:color w:val="0563C1"/>
            <w:u w:val="single"/>
          </w:rPr>
          <w:t>10.4000/edso.12627</w:t>
        </w:r>
      </w:hyperlink>
      <w:r>
        <w:t>.</w:t>
      </w:r>
    </w:p>
    <w:p w14:paraId="3741A938" w14:textId="77777777" w:rsidR="00DD5C93" w:rsidRDefault="00DD5C93" w:rsidP="00DD5C93">
      <w:pPr>
        <w:tabs>
          <w:tab w:val="left" w:pos="6614"/>
        </w:tabs>
        <w:spacing w:after="0"/>
        <w:rPr>
          <w:color w:val="000000"/>
        </w:rPr>
      </w:pPr>
    </w:p>
    <w:p w14:paraId="6326EC4C" w14:textId="77777777" w:rsidR="002949A0" w:rsidRDefault="00FD3544">
      <w:pPr>
        <w:tabs>
          <w:tab w:val="left" w:pos="6614"/>
        </w:tabs>
      </w:pPr>
      <w:proofErr w:type="spellStart"/>
      <w:r>
        <w:t>Gilabert</w:t>
      </w:r>
      <w:proofErr w:type="spellEnd"/>
      <w:r>
        <w:t xml:space="preserve">, Hélène. « L'apprentissage de l'abstraction. Entretien avec </w:t>
      </w:r>
      <w:proofErr w:type="spellStart"/>
      <w:r>
        <w:t>Britt</w:t>
      </w:r>
      <w:proofErr w:type="spellEnd"/>
      <w:r>
        <w:t xml:space="preserve">-Mari Barth ». Communication et langages, n°81, 3ème trimestre 1989, pp. 5-12. DOI : </w:t>
      </w:r>
      <w:hyperlink r:id="rId20">
        <w:r>
          <w:rPr>
            <w:color w:val="000000"/>
          </w:rPr>
          <w:t>10.3406/colan.1989.1111</w:t>
        </w:r>
      </w:hyperlink>
      <w:r>
        <w:t>.</w:t>
      </w:r>
    </w:p>
    <w:p w14:paraId="04B9088F" w14:textId="77777777" w:rsidR="00DD5C93" w:rsidRDefault="00DD5C93" w:rsidP="00DD5C93">
      <w:pPr>
        <w:tabs>
          <w:tab w:val="left" w:pos="6614"/>
        </w:tabs>
      </w:pPr>
      <w:proofErr w:type="spellStart"/>
      <w:r>
        <w:t>Hedjerassi</w:t>
      </w:r>
      <w:proofErr w:type="spellEnd"/>
      <w:r>
        <w:t xml:space="preserve">, </w:t>
      </w:r>
      <w:proofErr w:type="spellStart"/>
      <w:r>
        <w:t>Nassira</w:t>
      </w:r>
      <w:proofErr w:type="spellEnd"/>
      <w:r>
        <w:t xml:space="preserve">. « À l’école de </w:t>
      </w:r>
      <w:proofErr w:type="spellStart"/>
      <w:r>
        <w:t>bell</w:t>
      </w:r>
      <w:proofErr w:type="spellEnd"/>
      <w:r>
        <w:t xml:space="preserve"> </w:t>
      </w:r>
      <w:proofErr w:type="spellStart"/>
      <w:r>
        <w:t>hooks</w:t>
      </w:r>
      <w:proofErr w:type="spellEnd"/>
      <w:r>
        <w:t xml:space="preserve"> : une pédagogie engagée de la libération ». Émancipation et formation de soi, tome 1, octobre 2016, pp. 39-50. DOI : </w:t>
      </w:r>
      <w:hyperlink r:id="rId21">
        <w:r>
          <w:rPr>
            <w:color w:val="0563C1"/>
            <w:u w:val="single"/>
          </w:rPr>
          <w:t>10.4000/rechercheseducations.2498</w:t>
        </w:r>
      </w:hyperlink>
      <w:r>
        <w:t>.</w:t>
      </w:r>
    </w:p>
    <w:p w14:paraId="1EBB976F" w14:textId="77777777" w:rsidR="00DD5C93" w:rsidRDefault="00DD5C93" w:rsidP="00DD5C93">
      <w:pPr>
        <w:tabs>
          <w:tab w:val="left" w:pos="6614"/>
        </w:tabs>
        <w:spacing w:after="0"/>
      </w:pPr>
      <w:proofErr w:type="spellStart"/>
      <w:r>
        <w:t>Jézégou</w:t>
      </w:r>
      <w:proofErr w:type="spellEnd"/>
      <w:r>
        <w:t xml:space="preserve">, A. « Agentivité ». Dans Anne Jorro (éd.), </w:t>
      </w:r>
      <w:r>
        <w:rPr>
          <w:i/>
        </w:rPr>
        <w:t>Dictionnaire des concepts de la professionnalisation</w:t>
      </w:r>
      <w:r>
        <w:t xml:space="preserve"> (pp. 41-44). Louvain-la-Neuve : De Boeck Supérieur, 2022. DOI : </w:t>
      </w:r>
      <w:hyperlink r:id="rId22">
        <w:r>
          <w:rPr>
            <w:color w:val="000000"/>
          </w:rPr>
          <w:t>10.3917/dbu.jorro.2022.01.0041</w:t>
        </w:r>
      </w:hyperlink>
      <w:r>
        <w:t>.</w:t>
      </w:r>
    </w:p>
    <w:p w14:paraId="44206579" w14:textId="77777777" w:rsidR="00DD5C93" w:rsidRDefault="00DD5C93" w:rsidP="00DD5C93">
      <w:pPr>
        <w:tabs>
          <w:tab w:val="left" w:pos="6614"/>
        </w:tabs>
        <w:spacing w:after="0"/>
      </w:pPr>
    </w:p>
    <w:p w14:paraId="395D5911" w14:textId="77777777" w:rsidR="002949A0" w:rsidRDefault="00FD3544">
      <w:pPr>
        <w:tabs>
          <w:tab w:val="left" w:pos="6614"/>
        </w:tabs>
        <w:rPr>
          <w:color w:val="000000"/>
        </w:rPr>
      </w:pPr>
      <w:r>
        <w:t xml:space="preserve">Jourdain, Anne, et Sidonie </w:t>
      </w:r>
      <w:proofErr w:type="spellStart"/>
      <w:r>
        <w:t>Naulin</w:t>
      </w:r>
      <w:proofErr w:type="spellEnd"/>
      <w:r>
        <w:t xml:space="preserve">. « Héritage et transmission dans la sociologie de Pierre Bourdieu ». Idées économiques et sociales, vol. 166, no 4, 2011, pp. 6-14. Cairn.info. </w:t>
      </w:r>
      <w:r>
        <w:rPr>
          <w:color w:val="000000"/>
        </w:rPr>
        <w:t xml:space="preserve"> </w:t>
      </w:r>
    </w:p>
    <w:p w14:paraId="12D305E8" w14:textId="77777777" w:rsidR="002949A0" w:rsidRDefault="002949A0">
      <w:pPr>
        <w:tabs>
          <w:tab w:val="left" w:pos="6614"/>
        </w:tabs>
        <w:jc w:val="both"/>
        <w:rPr>
          <w:b/>
          <w:color w:val="000000"/>
        </w:rPr>
      </w:pPr>
    </w:p>
    <w:p w14:paraId="4496483C" w14:textId="77777777" w:rsidR="002949A0" w:rsidRDefault="00FD3544">
      <w:pPr>
        <w:tabs>
          <w:tab w:val="left" w:pos="6614"/>
        </w:tabs>
        <w:jc w:val="both"/>
        <w:rPr>
          <w:b/>
          <w:color w:val="000000"/>
        </w:rPr>
      </w:pPr>
      <w:r>
        <w:rPr>
          <w:b/>
          <w:color w:val="000000"/>
        </w:rPr>
        <w:t>Ressources pédagogiques :</w:t>
      </w:r>
    </w:p>
    <w:p w14:paraId="545DED0E" w14:textId="77777777" w:rsidR="002949A0" w:rsidRDefault="00FD3544">
      <w:pPr>
        <w:tabs>
          <w:tab w:val="left" w:pos="6614"/>
        </w:tabs>
        <w:spacing w:after="0" w:line="240" w:lineRule="auto"/>
      </w:pPr>
      <w:r>
        <w:t xml:space="preserve">AFS Interculture Canada. « Informations sur AFS ». AFS Canada. Consulté le 6 août 2024.  </w:t>
      </w:r>
    </w:p>
    <w:p w14:paraId="325C01F6" w14:textId="77777777" w:rsidR="002949A0" w:rsidRDefault="00FD3544">
      <w:pPr>
        <w:tabs>
          <w:tab w:val="left" w:pos="6614"/>
        </w:tabs>
        <w:spacing w:after="0" w:line="240" w:lineRule="auto"/>
      </w:pPr>
      <w:hyperlink r:id="rId23">
        <w:r>
          <w:rPr>
            <w:color w:val="0563C1"/>
          </w:rPr>
          <w:t>https://www.afscanada.org/informations-sur-afs/</w:t>
        </w:r>
      </w:hyperlink>
      <w:r>
        <w:t>.</w:t>
      </w:r>
    </w:p>
    <w:p w14:paraId="0EC405F9" w14:textId="77777777" w:rsidR="002949A0" w:rsidRDefault="002949A0">
      <w:pPr>
        <w:tabs>
          <w:tab w:val="left" w:pos="6614"/>
        </w:tabs>
        <w:spacing w:after="0" w:line="240" w:lineRule="auto"/>
      </w:pPr>
    </w:p>
    <w:p w14:paraId="1125DF80" w14:textId="77777777" w:rsidR="002949A0" w:rsidRDefault="00FD3544">
      <w:pPr>
        <w:tabs>
          <w:tab w:val="left" w:pos="6614"/>
        </w:tabs>
        <w:spacing w:after="0" w:line="240" w:lineRule="auto"/>
      </w:pPr>
      <w:r>
        <w:t xml:space="preserve">AFS Interculture Canada. « Mon arbuste culturel ». AFS Canada. Consulté le 6 août 2024. </w:t>
      </w:r>
      <w:hyperlink r:id="rId24">
        <w:r>
          <w:rPr>
            <w:color w:val="0563C1"/>
            <w:u w:val="single"/>
          </w:rPr>
          <w:t>https://www.afscanada.org/informations-sur-afs/</w:t>
        </w:r>
      </w:hyperlink>
      <w:r>
        <w:t>.</w:t>
      </w:r>
    </w:p>
    <w:p w14:paraId="74FBF442" w14:textId="77777777" w:rsidR="002949A0" w:rsidRDefault="002949A0">
      <w:pPr>
        <w:tabs>
          <w:tab w:val="left" w:pos="6614"/>
        </w:tabs>
        <w:jc w:val="both"/>
        <w:rPr>
          <w:b/>
          <w:color w:val="0563C1"/>
          <w:sz w:val="24"/>
          <w:szCs w:val="24"/>
          <w:u w:val="single"/>
        </w:rPr>
      </w:pPr>
    </w:p>
    <w:p w14:paraId="00D6821D" w14:textId="77777777" w:rsidR="002949A0" w:rsidRDefault="00FD3544">
      <w:pPr>
        <w:tabs>
          <w:tab w:val="left" w:pos="6614"/>
        </w:tabs>
        <w:jc w:val="both"/>
        <w:rPr>
          <w:b/>
          <w:color w:val="000000"/>
        </w:rPr>
      </w:pPr>
      <w:r>
        <w:rPr>
          <w:b/>
          <w:color w:val="000000"/>
        </w:rPr>
        <w:t>Vidéos</w:t>
      </w:r>
    </w:p>
    <w:p w14:paraId="404A4902" w14:textId="77777777" w:rsidR="002949A0" w:rsidRDefault="00FD3544">
      <w:pPr>
        <w:tabs>
          <w:tab w:val="left" w:pos="6614"/>
        </w:tabs>
      </w:pPr>
      <w:r w:rsidRPr="00DD5C93">
        <w:rPr>
          <w:i/>
          <w:iCs/>
        </w:rPr>
        <w:t>Le rôle du capital culturel dans la réussite scolaire</w:t>
      </w:r>
      <w:r>
        <w:t xml:space="preserve">. 18 janvier 2018. YouTube. </w:t>
      </w:r>
      <w:hyperlink r:id="rId25">
        <w:r>
          <w:rPr>
            <w:color w:val="0563C1"/>
            <w:u w:val="single"/>
          </w:rPr>
          <w:t>https://www.youtube.com/watch?v=_baid8unKaQ&amp;t=76s</w:t>
        </w:r>
      </w:hyperlink>
      <w:r>
        <w:t>.</w:t>
      </w:r>
    </w:p>
    <w:p w14:paraId="7CDFAD96" w14:textId="77777777" w:rsidR="002949A0" w:rsidRPr="001617EB" w:rsidRDefault="00FD3544">
      <w:pPr>
        <w:tabs>
          <w:tab w:val="left" w:pos="6614"/>
        </w:tabs>
        <w:rPr>
          <w:lang w:val="en-CA"/>
        </w:rPr>
      </w:pPr>
      <w:proofErr w:type="spellStart"/>
      <w:r>
        <w:t>Obomsawin</w:t>
      </w:r>
      <w:proofErr w:type="spellEnd"/>
      <w:r>
        <w:t xml:space="preserve">, Alanis. </w:t>
      </w:r>
      <w:r>
        <w:rPr>
          <w:i/>
        </w:rPr>
        <w:t>Le chemin de la guérison</w:t>
      </w:r>
      <w:r>
        <w:t xml:space="preserve">. </w:t>
      </w:r>
      <w:r w:rsidRPr="001617EB">
        <w:rPr>
          <w:lang w:val="en-CA"/>
        </w:rPr>
        <w:t xml:space="preserve">ONF, 2017, 1 h 36 min. </w:t>
      </w:r>
      <w:hyperlink r:id="rId26">
        <w:r w:rsidRPr="001617EB">
          <w:rPr>
            <w:color w:val="0563C1"/>
            <w:u w:val="single"/>
            <w:lang w:val="en-CA"/>
          </w:rPr>
          <w:t>https://www.onf.ca/film/chemin-de-la-guerison/</w:t>
        </w:r>
      </w:hyperlink>
      <w:r w:rsidRPr="001617EB">
        <w:rPr>
          <w:lang w:val="en-CA"/>
        </w:rPr>
        <w:t>.</w:t>
      </w:r>
    </w:p>
    <w:sectPr w:rsidR="002949A0" w:rsidRPr="001617EB">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7C4EA" w14:textId="77777777" w:rsidR="00FD3544" w:rsidRDefault="00FD3544">
      <w:pPr>
        <w:spacing w:after="0" w:line="240" w:lineRule="auto"/>
      </w:pPr>
      <w:r>
        <w:separator/>
      </w:r>
    </w:p>
  </w:endnote>
  <w:endnote w:type="continuationSeparator" w:id="0">
    <w:p w14:paraId="2449D6F2" w14:textId="77777777" w:rsidR="00FD3544" w:rsidRDefault="00FD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A9953F2-5814-4F04-9AD3-61854F63458D}"/>
    <w:embedBold r:id="rId2" w:fontKey="{34B4B567-3196-4077-8BDC-FBCB17431B3A}"/>
    <w:embedItalic r:id="rId3" w:fontKey="{5B1837BD-E400-4CED-A740-2A6CA8983CC5}"/>
    <w:embedBoldItalic r:id="rId4" w:fontKey="{CDB126A7-98D6-41EA-AAD0-C42CAAD4BA2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E220EF8A-1949-47D1-A801-FD22201CEE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30869A1-96F0-4449-9581-E8DAEF326752}"/>
    <w:embedItalic r:id="rId7" w:fontKey="{6C69924E-4B3D-4B5D-B3B0-45C482B8B49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4C02F121-ADFB-444C-9D99-634FBD9A2D20}"/>
  </w:font>
  <w:font w:name="Aptos Light">
    <w:charset w:val="00"/>
    <w:family w:val="swiss"/>
    <w:pitch w:val="variable"/>
    <w:sig w:usb0="20000287" w:usb1="00000003" w:usb2="00000000" w:usb3="00000000" w:csb0="0000019F" w:csb1="00000000"/>
    <w:embedRegular r:id="rId9" w:fontKey="{E3BD85E7-9D4D-4FF0-8FB4-389268837024}"/>
  </w:font>
  <w:font w:name="Calibri Light">
    <w:panose1 w:val="020F0302020204030204"/>
    <w:charset w:val="00"/>
    <w:family w:val="swiss"/>
    <w:pitch w:val="variable"/>
    <w:sig w:usb0="E4002EFF" w:usb1="C200247B" w:usb2="00000009" w:usb3="00000000" w:csb0="000001FF" w:csb1="00000000"/>
    <w:embedRegular r:id="rId10" w:fontKey="{BE1BC1ED-4747-4E4B-9074-F23D8E0F53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981AF" w14:textId="77777777" w:rsidR="00FD3544" w:rsidRDefault="00FD3544">
      <w:pPr>
        <w:spacing w:after="0" w:line="240" w:lineRule="auto"/>
      </w:pPr>
      <w:r>
        <w:separator/>
      </w:r>
    </w:p>
  </w:footnote>
  <w:footnote w:type="continuationSeparator" w:id="0">
    <w:p w14:paraId="4C921E2C" w14:textId="77777777" w:rsidR="00FD3544" w:rsidRDefault="00FD3544">
      <w:pPr>
        <w:spacing w:after="0" w:line="240" w:lineRule="auto"/>
      </w:pPr>
      <w:r>
        <w:continuationSeparator/>
      </w:r>
    </w:p>
  </w:footnote>
  <w:footnote w:id="1">
    <w:p w14:paraId="7B937C9B"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Gilabert</w:t>
      </w:r>
      <w:proofErr w:type="spellEnd"/>
      <w:r>
        <w:rPr>
          <w:color w:val="000000"/>
          <w:sz w:val="20"/>
          <w:szCs w:val="20"/>
        </w:rPr>
        <w:t xml:space="preserve">, Hélène. « L'apprentissage de l'abstraction. Entretien avec </w:t>
      </w:r>
      <w:proofErr w:type="spellStart"/>
      <w:r>
        <w:rPr>
          <w:color w:val="000000"/>
          <w:sz w:val="20"/>
          <w:szCs w:val="20"/>
        </w:rPr>
        <w:t>Britt</w:t>
      </w:r>
      <w:proofErr w:type="spellEnd"/>
      <w:r>
        <w:rPr>
          <w:color w:val="000000"/>
          <w:sz w:val="20"/>
          <w:szCs w:val="20"/>
        </w:rPr>
        <w:t xml:space="preserve">-Mari Barth ». Communication et langages, n°81, 3ème trimestre 1989, pp. 5-12. DOI : </w:t>
      </w:r>
      <w:hyperlink r:id="rId1">
        <w:r>
          <w:rPr>
            <w:color w:val="0563C1"/>
            <w:sz w:val="20"/>
            <w:szCs w:val="20"/>
            <w:u w:val="single"/>
          </w:rPr>
          <w:t>10.3406/colan.1989.1111</w:t>
        </w:r>
      </w:hyperlink>
      <w:r>
        <w:rPr>
          <w:color w:val="000000"/>
          <w:sz w:val="20"/>
          <w:szCs w:val="20"/>
        </w:rPr>
        <w:t>.</w:t>
      </w:r>
    </w:p>
  </w:footnote>
  <w:footnote w:id="2">
    <w:p w14:paraId="642043D0"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AFS Interculture Canada. « Informations sur AFS ». AFS Canada. Consulté le 6 août 2024. </w:t>
      </w:r>
      <w:hyperlink r:id="rId2">
        <w:r>
          <w:rPr>
            <w:color w:val="0563C1"/>
            <w:sz w:val="20"/>
            <w:szCs w:val="20"/>
            <w:u w:val="single"/>
          </w:rPr>
          <w:t>https://www.afscanada.org/informations-sur-afs/</w:t>
        </w:r>
      </w:hyperlink>
      <w:r>
        <w:rPr>
          <w:color w:val="000000"/>
          <w:sz w:val="20"/>
          <w:szCs w:val="20"/>
        </w:rPr>
        <w:t>.</w:t>
      </w:r>
    </w:p>
  </w:footnote>
  <w:footnote w:id="3">
    <w:p w14:paraId="44D665FE"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AFS Interculture Canada. « Mon </w:t>
      </w:r>
      <w:proofErr w:type="spellStart"/>
      <w:r>
        <w:rPr>
          <w:color w:val="000000"/>
          <w:sz w:val="20"/>
          <w:szCs w:val="20"/>
        </w:rPr>
        <w:t>arbustre</w:t>
      </w:r>
      <w:proofErr w:type="spellEnd"/>
      <w:r>
        <w:rPr>
          <w:color w:val="000000"/>
          <w:sz w:val="20"/>
          <w:szCs w:val="20"/>
        </w:rPr>
        <w:t xml:space="preserve"> culturel ». AFS Canada. Consulté le 6 août 2024. </w:t>
      </w:r>
      <w:hyperlink r:id="rId3">
        <w:r>
          <w:rPr>
            <w:color w:val="0563C1"/>
            <w:sz w:val="20"/>
            <w:szCs w:val="20"/>
            <w:u w:val="single"/>
          </w:rPr>
          <w:t>https://www.afscanada.org/informations-sur-afs/</w:t>
        </w:r>
      </w:hyperlink>
      <w:r>
        <w:rPr>
          <w:color w:val="000000"/>
          <w:sz w:val="20"/>
          <w:szCs w:val="20"/>
        </w:rPr>
        <w:t>.</w:t>
      </w:r>
    </w:p>
  </w:footnote>
  <w:footnote w:id="4">
    <w:p w14:paraId="70139C89"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Des enseignants réclament une réforme de l’histoire autochtone au Québec | Le Devoir</w:t>
        </w:r>
      </w:hyperlink>
    </w:p>
  </w:footnote>
  <w:footnote w:id="5">
    <w:p w14:paraId="3B6916C0"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Jourdain, Anne, et Sidonie </w:t>
      </w:r>
      <w:proofErr w:type="spellStart"/>
      <w:r>
        <w:rPr>
          <w:color w:val="000000"/>
          <w:sz w:val="20"/>
          <w:szCs w:val="20"/>
        </w:rPr>
        <w:t>Naulin</w:t>
      </w:r>
      <w:proofErr w:type="spellEnd"/>
      <w:r>
        <w:rPr>
          <w:color w:val="000000"/>
          <w:sz w:val="20"/>
          <w:szCs w:val="20"/>
        </w:rPr>
        <w:t>. « Héritage et transmission dans la sociologie de Pierre Bourdieu ». Idées économiques et sociales, vol. 166, no 4, 2011, pp. 6-14. Cairn.info.</w:t>
      </w:r>
    </w:p>
  </w:footnote>
  <w:footnote w:id="6">
    <w:p w14:paraId="499A9BA4"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2052E0">
        <w:rPr>
          <w:i/>
          <w:iCs/>
          <w:color w:val="000000"/>
          <w:sz w:val="20"/>
          <w:szCs w:val="20"/>
        </w:rPr>
        <w:t>Le rôle du capital culturel dans la réussite scolaire.</w:t>
      </w:r>
      <w:r>
        <w:rPr>
          <w:color w:val="000000"/>
          <w:sz w:val="20"/>
          <w:szCs w:val="20"/>
        </w:rPr>
        <w:t xml:space="preserve"> 18 janvier 2018. YouTube. </w:t>
      </w:r>
      <w:hyperlink r:id="rId5">
        <w:r>
          <w:rPr>
            <w:color w:val="0563C1"/>
            <w:sz w:val="20"/>
            <w:szCs w:val="20"/>
            <w:u w:val="single"/>
          </w:rPr>
          <w:t>https://www.youtube.com/watch?v=_baid8unKaQ&amp;t=76s</w:t>
        </w:r>
      </w:hyperlink>
      <w:r>
        <w:rPr>
          <w:color w:val="000000"/>
          <w:sz w:val="20"/>
          <w:szCs w:val="20"/>
        </w:rPr>
        <w:t>.</w:t>
      </w:r>
    </w:p>
  </w:footnote>
  <w:footnote w:id="7">
    <w:p w14:paraId="4B51BEE4"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Bourdieu, Pierre. « Les trois états du capital culturel ». Actes de la recherche en sciences sociales, vol. 30, novembre 1979, pp. 3-6. DOI : </w:t>
      </w:r>
      <w:hyperlink r:id="rId6">
        <w:r>
          <w:rPr>
            <w:color w:val="0563C1"/>
            <w:sz w:val="20"/>
            <w:szCs w:val="20"/>
            <w:u w:val="single"/>
          </w:rPr>
          <w:t>10.3406/arss.1979.2654</w:t>
        </w:r>
      </w:hyperlink>
      <w:r>
        <w:rPr>
          <w:color w:val="000000"/>
          <w:sz w:val="20"/>
          <w:szCs w:val="20"/>
        </w:rPr>
        <w:t>.</w:t>
      </w:r>
    </w:p>
  </w:footnote>
  <w:footnote w:id="8">
    <w:p w14:paraId="1A150247"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La distinction de Pierre Bourdieu | Bande dessinée | Roman graphique | leslibraires.ca | Acheter des livres papier et numériques en ligne</w:t>
        </w:r>
      </w:hyperlink>
      <w:r>
        <w:rPr>
          <w:color w:val="000000"/>
          <w:sz w:val="20"/>
          <w:szCs w:val="20"/>
        </w:rPr>
        <w:t xml:space="preserve"> </w:t>
      </w:r>
    </w:p>
  </w:footnote>
  <w:footnote w:id="9">
    <w:p w14:paraId="33052247"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Ingénieure québécoise en aérospatiale</w:t>
      </w:r>
    </w:p>
  </w:footnote>
  <w:footnote w:id="10">
    <w:p w14:paraId="6700D861"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Jézégou</w:t>
      </w:r>
      <w:proofErr w:type="spellEnd"/>
      <w:r>
        <w:rPr>
          <w:color w:val="000000"/>
          <w:sz w:val="20"/>
          <w:szCs w:val="20"/>
        </w:rPr>
        <w:t xml:space="preserve">, A. « Agentivité ». Dans Anne Jorro (éd.), </w:t>
      </w:r>
      <w:r>
        <w:rPr>
          <w:i/>
          <w:color w:val="000000"/>
          <w:sz w:val="20"/>
          <w:szCs w:val="20"/>
        </w:rPr>
        <w:t>Dictionnaire des concepts de la professionnalisation</w:t>
      </w:r>
      <w:r>
        <w:rPr>
          <w:color w:val="000000"/>
          <w:sz w:val="20"/>
          <w:szCs w:val="20"/>
        </w:rPr>
        <w:t xml:space="preserve"> (pp. 41-44). Louvain-la-Neuve : De Boeck Supérieur, 2022. DOI : </w:t>
      </w:r>
      <w:hyperlink r:id="rId8">
        <w:r>
          <w:rPr>
            <w:color w:val="0563C1"/>
            <w:sz w:val="20"/>
            <w:szCs w:val="20"/>
            <w:u w:val="single"/>
          </w:rPr>
          <w:t>10.3917/dbu.jorro.2022.01.0041</w:t>
        </w:r>
      </w:hyperlink>
      <w:r>
        <w:rPr>
          <w:color w:val="000000"/>
          <w:sz w:val="20"/>
          <w:szCs w:val="20"/>
        </w:rPr>
        <w:t>.</w:t>
      </w:r>
    </w:p>
    <w:p w14:paraId="2679F23B" w14:textId="77777777" w:rsidR="002949A0" w:rsidRDefault="002949A0">
      <w:pPr>
        <w:pBdr>
          <w:top w:val="nil"/>
          <w:left w:val="nil"/>
          <w:bottom w:val="nil"/>
          <w:right w:val="nil"/>
          <w:between w:val="nil"/>
        </w:pBdr>
        <w:spacing w:after="0" w:line="240" w:lineRule="auto"/>
        <w:rPr>
          <w:color w:val="000000"/>
          <w:sz w:val="20"/>
          <w:szCs w:val="20"/>
        </w:rPr>
      </w:pPr>
    </w:p>
  </w:footnote>
  <w:footnote w:id="11">
    <w:p w14:paraId="2F4E97FA"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Adapté de </w:t>
      </w:r>
      <w:proofErr w:type="spellStart"/>
      <w:r>
        <w:rPr>
          <w:color w:val="000000"/>
          <w:sz w:val="20"/>
          <w:szCs w:val="20"/>
        </w:rPr>
        <w:t>Duckworth</w:t>
      </w:r>
      <w:proofErr w:type="spellEnd"/>
      <w:r>
        <w:rPr>
          <w:color w:val="000000"/>
          <w:sz w:val="20"/>
          <w:szCs w:val="20"/>
        </w:rPr>
        <w:t xml:space="preserve"> (2020) et de la traduction de l’organisme Le Dispensaire (s. d.) par l'Observatoire sur la réussite en enseignement supérieur</w:t>
      </w:r>
    </w:p>
  </w:footnote>
  <w:footnote w:id="12">
    <w:p w14:paraId="752923CA" w14:textId="4270583D"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Nassira</w:t>
      </w:r>
      <w:proofErr w:type="spellEnd"/>
      <w:r>
        <w:rPr>
          <w:color w:val="000000"/>
          <w:sz w:val="20"/>
          <w:szCs w:val="20"/>
        </w:rPr>
        <w:t> </w:t>
      </w:r>
      <w:proofErr w:type="spellStart"/>
      <w:r>
        <w:rPr>
          <w:color w:val="000000"/>
          <w:sz w:val="20"/>
          <w:szCs w:val="20"/>
        </w:rPr>
        <w:t>Hedjerassi</w:t>
      </w:r>
      <w:proofErr w:type="spellEnd"/>
      <w:r>
        <w:rPr>
          <w:color w:val="000000"/>
          <w:sz w:val="20"/>
          <w:szCs w:val="20"/>
        </w:rPr>
        <w:t xml:space="preserve">, « À l’école de </w:t>
      </w:r>
      <w:proofErr w:type="spellStart"/>
      <w:r>
        <w:rPr>
          <w:color w:val="000000"/>
          <w:sz w:val="20"/>
          <w:szCs w:val="20"/>
        </w:rPr>
        <w:t>bell</w:t>
      </w:r>
      <w:proofErr w:type="spellEnd"/>
      <w:r>
        <w:rPr>
          <w:color w:val="000000"/>
          <w:sz w:val="20"/>
          <w:szCs w:val="20"/>
        </w:rPr>
        <w:t xml:space="preserve"> </w:t>
      </w:r>
      <w:proofErr w:type="spellStart"/>
      <w:r>
        <w:rPr>
          <w:color w:val="000000"/>
          <w:sz w:val="20"/>
          <w:szCs w:val="20"/>
        </w:rPr>
        <w:t>hooks</w:t>
      </w:r>
      <w:proofErr w:type="spellEnd"/>
      <w:r>
        <w:rPr>
          <w:color w:val="000000"/>
          <w:sz w:val="20"/>
          <w:szCs w:val="20"/>
        </w:rPr>
        <w:t> : une pédagogie engagée de la libération</w:t>
      </w:r>
      <w:r>
        <w:rPr>
          <w:color w:val="000000"/>
          <w:sz w:val="20"/>
          <w:szCs w:val="20"/>
        </w:rPr>
        <w:t> », </w:t>
      </w:r>
      <w:r>
        <w:rPr>
          <w:i/>
          <w:color w:val="000000"/>
          <w:sz w:val="20"/>
          <w:szCs w:val="20"/>
        </w:rPr>
        <w:t>Recherches &amp; éducations</w:t>
      </w:r>
      <w:r>
        <w:rPr>
          <w:color w:val="000000"/>
          <w:sz w:val="20"/>
          <w:szCs w:val="20"/>
        </w:rPr>
        <w:t xml:space="preserve"> [En ligne], 16 | Octobre 2016, mis en ligne le 30 juin 2017, consulté le 19 août 2024. URL : </w:t>
      </w:r>
      <w:hyperlink r:id="rId9" w:history="1">
        <w:r w:rsidRPr="00D85030">
          <w:rPr>
            <w:rStyle w:val="Lienhypertexte"/>
            <w:sz w:val="20"/>
            <w:szCs w:val="20"/>
          </w:rPr>
          <w:t>http://journals.openedition.org/rechercheseducations/2498</w:t>
        </w:r>
      </w:hyperlink>
    </w:p>
  </w:footnote>
  <w:footnote w:id="13">
    <w:p w14:paraId="464EF1A5" w14:textId="6AF60103"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Coudray, Sophie. « Du ‘je’ au ‘nous’. Le Théâtre de l’opprimé comme grammaire d’une parole collective ». </w:t>
      </w:r>
      <w:r>
        <w:rPr>
          <w:i/>
          <w:color w:val="000000"/>
          <w:sz w:val="20"/>
          <w:szCs w:val="20"/>
        </w:rPr>
        <w:t>Éducation et socialisation</w:t>
      </w:r>
      <w:r>
        <w:rPr>
          <w:color w:val="000000"/>
          <w:sz w:val="20"/>
          <w:szCs w:val="20"/>
        </w:rPr>
        <w:t xml:space="preserve">, les Cahiers du CERFEE, vol. 57, 2020. DOI : </w:t>
      </w:r>
      <w:hyperlink r:id="rId10">
        <w:r>
          <w:rPr>
            <w:color w:val="0563C1"/>
            <w:sz w:val="20"/>
            <w:szCs w:val="20"/>
            <w:u w:val="single"/>
          </w:rPr>
          <w:t>10.4000/edso.12627</w:t>
        </w:r>
      </w:hyperlink>
    </w:p>
  </w:footnote>
  <w:footnote w:id="14">
    <w:p w14:paraId="5D992B1E" w14:textId="77777777" w:rsidR="002949A0" w:rsidRDefault="00FD3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Ibid.</w:t>
      </w:r>
    </w:p>
  </w:footnote>
  <w:footnote w:id="15">
    <w:p w14:paraId="5818187B" w14:textId="77777777" w:rsidR="002949A0" w:rsidRPr="001617EB" w:rsidRDefault="00FD3544">
      <w:pPr>
        <w:pBdr>
          <w:top w:val="nil"/>
          <w:left w:val="nil"/>
          <w:bottom w:val="nil"/>
          <w:right w:val="nil"/>
          <w:between w:val="nil"/>
        </w:pBdr>
        <w:spacing w:after="0" w:line="240" w:lineRule="auto"/>
        <w:rPr>
          <w:color w:val="000000"/>
          <w:sz w:val="20"/>
          <w:szCs w:val="20"/>
          <w:lang w:val="en-CA"/>
        </w:rPr>
      </w:pPr>
      <w:r>
        <w:rPr>
          <w:vertAlign w:val="superscript"/>
        </w:rPr>
        <w:footnoteRef/>
      </w:r>
      <w:r>
        <w:rPr>
          <w:color w:val="000000"/>
          <w:sz w:val="20"/>
          <w:szCs w:val="20"/>
        </w:rPr>
        <w:t xml:space="preserve"> </w:t>
      </w:r>
      <w:proofErr w:type="spellStart"/>
      <w:r>
        <w:rPr>
          <w:color w:val="000000"/>
          <w:sz w:val="20"/>
          <w:szCs w:val="20"/>
        </w:rPr>
        <w:t>Obomsawin</w:t>
      </w:r>
      <w:proofErr w:type="spellEnd"/>
      <w:r>
        <w:rPr>
          <w:color w:val="000000"/>
          <w:sz w:val="20"/>
          <w:szCs w:val="20"/>
        </w:rPr>
        <w:t xml:space="preserve">, Alanis. </w:t>
      </w:r>
      <w:r>
        <w:rPr>
          <w:i/>
          <w:color w:val="000000"/>
          <w:sz w:val="20"/>
          <w:szCs w:val="20"/>
        </w:rPr>
        <w:t>Le chemin de la guérison</w:t>
      </w:r>
      <w:r>
        <w:rPr>
          <w:color w:val="000000"/>
          <w:sz w:val="20"/>
          <w:szCs w:val="20"/>
        </w:rPr>
        <w:t xml:space="preserve">. </w:t>
      </w:r>
      <w:r w:rsidRPr="001617EB">
        <w:rPr>
          <w:color w:val="000000"/>
          <w:sz w:val="20"/>
          <w:szCs w:val="20"/>
          <w:lang w:val="en-CA"/>
        </w:rPr>
        <w:t xml:space="preserve">ONF, 2017, 1 h 36 min. </w:t>
      </w:r>
      <w:hyperlink r:id="rId11">
        <w:r w:rsidRPr="001617EB">
          <w:rPr>
            <w:color w:val="0563C1"/>
            <w:sz w:val="20"/>
            <w:szCs w:val="20"/>
            <w:u w:val="single"/>
            <w:lang w:val="en-CA"/>
          </w:rPr>
          <w:t>https://www.onf.ca/film/chemin-de-la-guerison/</w:t>
        </w:r>
      </w:hyperlink>
      <w:r w:rsidRPr="001617EB">
        <w:rPr>
          <w:color w:val="000000"/>
          <w:sz w:val="20"/>
          <w:szCs w:val="20"/>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5D68E" w14:textId="77777777" w:rsidR="002949A0" w:rsidRDefault="00FD3544">
    <w:pPr>
      <w:pBdr>
        <w:top w:val="nil"/>
        <w:left w:val="nil"/>
        <w:bottom w:val="nil"/>
        <w:right w:val="nil"/>
        <w:between w:val="nil"/>
      </w:pBdr>
      <w:tabs>
        <w:tab w:val="center" w:pos="4703"/>
        <w:tab w:val="right" w:pos="9406"/>
      </w:tabs>
      <w:spacing w:after="0" w:line="240" w:lineRule="auto"/>
      <w:rPr>
        <w:color w:val="000000"/>
      </w:rPr>
    </w:pPr>
    <w:r>
      <w:rPr>
        <w:noProof/>
      </w:rPr>
      <mc:AlternateContent>
        <mc:Choice Requires="wpg">
          <w:drawing>
            <wp:anchor distT="45720" distB="45720" distL="114300" distR="114300" simplePos="0" relativeHeight="251658240" behindDoc="0" locked="0" layoutInCell="1" hidden="0" allowOverlap="1" wp14:anchorId="2F9F61D2" wp14:editId="10788BAF">
              <wp:simplePos x="0" y="0"/>
              <wp:positionH relativeFrom="column">
                <wp:posOffset>-787399</wp:posOffset>
              </wp:positionH>
              <wp:positionV relativeFrom="paragraph">
                <wp:posOffset>-182879</wp:posOffset>
              </wp:positionV>
              <wp:extent cx="2316307" cy="508289"/>
              <wp:effectExtent l="0" t="0" r="0" b="0"/>
              <wp:wrapNone/>
              <wp:docPr id="2140052926" name="Rectangle 2140052926"/>
              <wp:cNvGraphicFramePr/>
              <a:graphic xmlns:a="http://schemas.openxmlformats.org/drawingml/2006/main">
                <a:graphicData uri="http://schemas.microsoft.com/office/word/2010/wordprocessingShape">
                  <wps:wsp>
                    <wps:cNvSpPr/>
                    <wps:spPr>
                      <a:xfrm>
                        <a:off x="4192609" y="3530618"/>
                        <a:ext cx="2306782" cy="498764"/>
                      </a:xfrm>
                      <a:prstGeom prst="rect">
                        <a:avLst/>
                      </a:prstGeom>
                      <a:noFill/>
                      <a:ln>
                        <a:noFill/>
                      </a:ln>
                    </wps:spPr>
                    <wps:txbx>
                      <w:txbxContent>
                        <w:p w14:paraId="302FBC67" w14:textId="77777777" w:rsidR="002949A0" w:rsidRDefault="002949A0">
                          <w:pPr>
                            <w:spacing w:after="0" w:line="275" w:lineRule="auto"/>
                            <w:textDirection w:val="btLr"/>
                          </w:pPr>
                        </w:p>
                        <w:p w14:paraId="325B7783" w14:textId="77777777" w:rsidR="002949A0" w:rsidRDefault="002949A0">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-787399</wp:posOffset>
              </wp:positionH>
              <wp:positionV relativeFrom="paragraph">
                <wp:posOffset>-182879</wp:posOffset>
              </wp:positionV>
              <wp:extent cx="2316307" cy="508289"/>
              <wp:effectExtent b="0" l="0" r="0" t="0"/>
              <wp:wrapNone/>
              <wp:docPr id="214005292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316307" cy="508289"/>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16CA9"/>
    <w:multiLevelType w:val="multilevel"/>
    <w:tmpl w:val="D6843372"/>
    <w:lvl w:ilvl="0">
      <w:start w:val="25"/>
      <w:numFmt w:val="bullet"/>
      <w:lvlText w:val="-"/>
      <w:lvlJc w:val="left"/>
      <w:pPr>
        <w:ind w:left="416" w:hanging="360"/>
      </w:pPr>
      <w:rPr>
        <w:rFonts w:ascii="Calibri" w:eastAsia="Calibri" w:hAnsi="Calibri" w:cs="Calibri"/>
      </w:rPr>
    </w:lvl>
    <w:lvl w:ilvl="1">
      <w:start w:val="1"/>
      <w:numFmt w:val="bullet"/>
      <w:lvlText w:val="o"/>
      <w:lvlJc w:val="left"/>
      <w:pPr>
        <w:ind w:left="1136" w:hanging="360"/>
      </w:pPr>
      <w:rPr>
        <w:rFonts w:ascii="Courier New" w:eastAsia="Courier New" w:hAnsi="Courier New" w:cs="Courier New"/>
      </w:rPr>
    </w:lvl>
    <w:lvl w:ilvl="2">
      <w:start w:val="1"/>
      <w:numFmt w:val="bullet"/>
      <w:lvlText w:val="▪"/>
      <w:lvlJc w:val="left"/>
      <w:pPr>
        <w:ind w:left="1856" w:hanging="360"/>
      </w:pPr>
      <w:rPr>
        <w:rFonts w:ascii="Noto Sans Symbols" w:eastAsia="Noto Sans Symbols" w:hAnsi="Noto Sans Symbols" w:cs="Noto Sans Symbols"/>
      </w:rPr>
    </w:lvl>
    <w:lvl w:ilvl="3">
      <w:start w:val="1"/>
      <w:numFmt w:val="bullet"/>
      <w:lvlText w:val="●"/>
      <w:lvlJc w:val="left"/>
      <w:pPr>
        <w:ind w:left="2576" w:hanging="360"/>
      </w:pPr>
      <w:rPr>
        <w:rFonts w:ascii="Noto Sans Symbols" w:eastAsia="Noto Sans Symbols" w:hAnsi="Noto Sans Symbols" w:cs="Noto Sans Symbols"/>
      </w:rPr>
    </w:lvl>
    <w:lvl w:ilvl="4">
      <w:start w:val="1"/>
      <w:numFmt w:val="bullet"/>
      <w:lvlText w:val="o"/>
      <w:lvlJc w:val="left"/>
      <w:pPr>
        <w:ind w:left="3296" w:hanging="360"/>
      </w:pPr>
      <w:rPr>
        <w:rFonts w:ascii="Courier New" w:eastAsia="Courier New" w:hAnsi="Courier New" w:cs="Courier New"/>
      </w:rPr>
    </w:lvl>
    <w:lvl w:ilvl="5">
      <w:start w:val="1"/>
      <w:numFmt w:val="bullet"/>
      <w:lvlText w:val="▪"/>
      <w:lvlJc w:val="left"/>
      <w:pPr>
        <w:ind w:left="4016" w:hanging="360"/>
      </w:pPr>
      <w:rPr>
        <w:rFonts w:ascii="Noto Sans Symbols" w:eastAsia="Noto Sans Symbols" w:hAnsi="Noto Sans Symbols" w:cs="Noto Sans Symbols"/>
      </w:rPr>
    </w:lvl>
    <w:lvl w:ilvl="6">
      <w:start w:val="1"/>
      <w:numFmt w:val="bullet"/>
      <w:lvlText w:val="●"/>
      <w:lvlJc w:val="left"/>
      <w:pPr>
        <w:ind w:left="4736" w:hanging="360"/>
      </w:pPr>
      <w:rPr>
        <w:rFonts w:ascii="Noto Sans Symbols" w:eastAsia="Noto Sans Symbols" w:hAnsi="Noto Sans Symbols" w:cs="Noto Sans Symbols"/>
      </w:rPr>
    </w:lvl>
    <w:lvl w:ilvl="7">
      <w:start w:val="1"/>
      <w:numFmt w:val="bullet"/>
      <w:lvlText w:val="o"/>
      <w:lvlJc w:val="left"/>
      <w:pPr>
        <w:ind w:left="5456" w:hanging="360"/>
      </w:pPr>
      <w:rPr>
        <w:rFonts w:ascii="Courier New" w:eastAsia="Courier New" w:hAnsi="Courier New" w:cs="Courier New"/>
      </w:rPr>
    </w:lvl>
    <w:lvl w:ilvl="8">
      <w:start w:val="1"/>
      <w:numFmt w:val="bullet"/>
      <w:lvlText w:val="▪"/>
      <w:lvlJc w:val="left"/>
      <w:pPr>
        <w:ind w:left="6176" w:hanging="360"/>
      </w:pPr>
      <w:rPr>
        <w:rFonts w:ascii="Noto Sans Symbols" w:eastAsia="Noto Sans Symbols" w:hAnsi="Noto Sans Symbols" w:cs="Noto Sans Symbols"/>
      </w:rPr>
    </w:lvl>
  </w:abstractNum>
  <w:abstractNum w:abstractNumId="1" w15:restartNumberingAfterBreak="0">
    <w:nsid w:val="5E081B28"/>
    <w:multiLevelType w:val="multilevel"/>
    <w:tmpl w:val="1FD47FBA"/>
    <w:lvl w:ilvl="0">
      <w:start w:val="1"/>
      <w:numFmt w:val="decimal"/>
      <w:lvlText w:val="%1-"/>
      <w:lvlJc w:val="left"/>
      <w:pPr>
        <w:ind w:left="416" w:hanging="360"/>
      </w:pPr>
      <w:rPr>
        <w:color w:val="C00000"/>
      </w:rPr>
    </w:lvl>
    <w:lvl w:ilvl="1">
      <w:start w:val="1"/>
      <w:numFmt w:val="lowerLetter"/>
      <w:lvlText w:val="%2."/>
      <w:lvlJc w:val="left"/>
      <w:pPr>
        <w:ind w:left="1136" w:hanging="360"/>
      </w:pPr>
    </w:lvl>
    <w:lvl w:ilvl="2">
      <w:start w:val="1"/>
      <w:numFmt w:val="lowerRoman"/>
      <w:lvlText w:val="%3."/>
      <w:lvlJc w:val="right"/>
      <w:pPr>
        <w:ind w:left="1856" w:hanging="180"/>
      </w:pPr>
    </w:lvl>
    <w:lvl w:ilvl="3">
      <w:start w:val="1"/>
      <w:numFmt w:val="decimal"/>
      <w:lvlText w:val="%4."/>
      <w:lvlJc w:val="left"/>
      <w:pPr>
        <w:ind w:left="2576" w:hanging="360"/>
      </w:pPr>
    </w:lvl>
    <w:lvl w:ilvl="4">
      <w:start w:val="1"/>
      <w:numFmt w:val="lowerLetter"/>
      <w:lvlText w:val="%5."/>
      <w:lvlJc w:val="left"/>
      <w:pPr>
        <w:ind w:left="3296" w:hanging="360"/>
      </w:pPr>
    </w:lvl>
    <w:lvl w:ilvl="5">
      <w:start w:val="1"/>
      <w:numFmt w:val="lowerRoman"/>
      <w:lvlText w:val="%6."/>
      <w:lvlJc w:val="right"/>
      <w:pPr>
        <w:ind w:left="4016" w:hanging="180"/>
      </w:pPr>
    </w:lvl>
    <w:lvl w:ilvl="6">
      <w:start w:val="1"/>
      <w:numFmt w:val="decimal"/>
      <w:lvlText w:val="%7."/>
      <w:lvlJc w:val="left"/>
      <w:pPr>
        <w:ind w:left="4736" w:hanging="360"/>
      </w:pPr>
    </w:lvl>
    <w:lvl w:ilvl="7">
      <w:start w:val="1"/>
      <w:numFmt w:val="lowerLetter"/>
      <w:lvlText w:val="%8."/>
      <w:lvlJc w:val="left"/>
      <w:pPr>
        <w:ind w:left="5456" w:hanging="360"/>
      </w:pPr>
    </w:lvl>
    <w:lvl w:ilvl="8">
      <w:start w:val="1"/>
      <w:numFmt w:val="lowerRoman"/>
      <w:lvlText w:val="%9."/>
      <w:lvlJc w:val="right"/>
      <w:pPr>
        <w:ind w:left="6176" w:hanging="180"/>
      </w:pPr>
    </w:lvl>
  </w:abstractNum>
  <w:abstractNum w:abstractNumId="2" w15:restartNumberingAfterBreak="0">
    <w:nsid w:val="5F46476C"/>
    <w:multiLevelType w:val="multilevel"/>
    <w:tmpl w:val="68760338"/>
    <w:lvl w:ilvl="0">
      <w:start w:val="1"/>
      <w:numFmt w:val="bullet"/>
      <w:lvlText w:val="●"/>
      <w:lvlJc w:val="left"/>
      <w:pPr>
        <w:ind w:left="1136" w:hanging="360"/>
      </w:pPr>
      <w:rPr>
        <w:rFonts w:ascii="Noto Sans Symbols" w:eastAsia="Noto Sans Symbols" w:hAnsi="Noto Sans Symbols" w:cs="Noto Sans Symbols"/>
      </w:rPr>
    </w:lvl>
    <w:lvl w:ilvl="1">
      <w:start w:val="1"/>
      <w:numFmt w:val="bullet"/>
      <w:lvlText w:val="o"/>
      <w:lvlJc w:val="left"/>
      <w:pPr>
        <w:ind w:left="1856" w:hanging="360"/>
      </w:pPr>
      <w:rPr>
        <w:rFonts w:ascii="Courier New" w:eastAsia="Courier New" w:hAnsi="Courier New" w:cs="Courier New"/>
      </w:rPr>
    </w:lvl>
    <w:lvl w:ilvl="2">
      <w:start w:val="1"/>
      <w:numFmt w:val="bullet"/>
      <w:lvlText w:val="▪"/>
      <w:lvlJc w:val="left"/>
      <w:pPr>
        <w:ind w:left="2576" w:hanging="360"/>
      </w:pPr>
      <w:rPr>
        <w:rFonts w:ascii="Noto Sans Symbols" w:eastAsia="Noto Sans Symbols" w:hAnsi="Noto Sans Symbols" w:cs="Noto Sans Symbols"/>
      </w:rPr>
    </w:lvl>
    <w:lvl w:ilvl="3">
      <w:start w:val="1"/>
      <w:numFmt w:val="bullet"/>
      <w:lvlText w:val="●"/>
      <w:lvlJc w:val="left"/>
      <w:pPr>
        <w:ind w:left="3296" w:hanging="360"/>
      </w:pPr>
      <w:rPr>
        <w:rFonts w:ascii="Noto Sans Symbols" w:eastAsia="Noto Sans Symbols" w:hAnsi="Noto Sans Symbols" w:cs="Noto Sans Symbols"/>
      </w:rPr>
    </w:lvl>
    <w:lvl w:ilvl="4">
      <w:start w:val="1"/>
      <w:numFmt w:val="bullet"/>
      <w:lvlText w:val="o"/>
      <w:lvlJc w:val="left"/>
      <w:pPr>
        <w:ind w:left="4016" w:hanging="360"/>
      </w:pPr>
      <w:rPr>
        <w:rFonts w:ascii="Courier New" w:eastAsia="Courier New" w:hAnsi="Courier New" w:cs="Courier New"/>
      </w:rPr>
    </w:lvl>
    <w:lvl w:ilvl="5">
      <w:start w:val="1"/>
      <w:numFmt w:val="bullet"/>
      <w:lvlText w:val="▪"/>
      <w:lvlJc w:val="left"/>
      <w:pPr>
        <w:ind w:left="4736" w:hanging="360"/>
      </w:pPr>
      <w:rPr>
        <w:rFonts w:ascii="Noto Sans Symbols" w:eastAsia="Noto Sans Symbols" w:hAnsi="Noto Sans Symbols" w:cs="Noto Sans Symbols"/>
      </w:rPr>
    </w:lvl>
    <w:lvl w:ilvl="6">
      <w:start w:val="1"/>
      <w:numFmt w:val="bullet"/>
      <w:lvlText w:val="●"/>
      <w:lvlJc w:val="left"/>
      <w:pPr>
        <w:ind w:left="5456" w:hanging="360"/>
      </w:pPr>
      <w:rPr>
        <w:rFonts w:ascii="Noto Sans Symbols" w:eastAsia="Noto Sans Symbols" w:hAnsi="Noto Sans Symbols" w:cs="Noto Sans Symbols"/>
      </w:rPr>
    </w:lvl>
    <w:lvl w:ilvl="7">
      <w:start w:val="1"/>
      <w:numFmt w:val="bullet"/>
      <w:lvlText w:val="o"/>
      <w:lvlJc w:val="left"/>
      <w:pPr>
        <w:ind w:left="6176" w:hanging="360"/>
      </w:pPr>
      <w:rPr>
        <w:rFonts w:ascii="Courier New" w:eastAsia="Courier New" w:hAnsi="Courier New" w:cs="Courier New"/>
      </w:rPr>
    </w:lvl>
    <w:lvl w:ilvl="8">
      <w:start w:val="1"/>
      <w:numFmt w:val="bullet"/>
      <w:lvlText w:val="▪"/>
      <w:lvlJc w:val="left"/>
      <w:pPr>
        <w:ind w:left="6896" w:hanging="360"/>
      </w:pPr>
      <w:rPr>
        <w:rFonts w:ascii="Noto Sans Symbols" w:eastAsia="Noto Sans Symbols" w:hAnsi="Noto Sans Symbols" w:cs="Noto Sans Symbols"/>
      </w:rPr>
    </w:lvl>
  </w:abstractNum>
  <w:num w:numId="1" w16cid:durableId="1242911951">
    <w:abstractNumId w:val="2"/>
  </w:num>
  <w:num w:numId="2" w16cid:durableId="962080445">
    <w:abstractNumId w:val="0"/>
  </w:num>
  <w:num w:numId="3" w16cid:durableId="2118672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A0"/>
    <w:rsid w:val="001617EB"/>
    <w:rsid w:val="002052E0"/>
    <w:rsid w:val="002949A0"/>
    <w:rsid w:val="002E1FB7"/>
    <w:rsid w:val="00352E0C"/>
    <w:rsid w:val="006D3ACB"/>
    <w:rsid w:val="00724543"/>
    <w:rsid w:val="00776778"/>
    <w:rsid w:val="007C37DD"/>
    <w:rsid w:val="008E34DD"/>
    <w:rsid w:val="00AF7B14"/>
    <w:rsid w:val="00B41E32"/>
    <w:rsid w:val="00BF23B7"/>
    <w:rsid w:val="00C558CE"/>
    <w:rsid w:val="00DA21EF"/>
    <w:rsid w:val="00DD5C93"/>
    <w:rsid w:val="00E1116C"/>
    <w:rsid w:val="00F30724"/>
    <w:rsid w:val="00FD35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8BA17"/>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38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F5738F"/>
    <w:pPr>
      <w:ind w:left="720"/>
      <w:contextualSpacing/>
    </w:pPr>
  </w:style>
  <w:style w:type="character" w:styleId="Lienhypertexte">
    <w:name w:val="Hyperlink"/>
    <w:basedOn w:val="Policepardfaut"/>
    <w:uiPriority w:val="99"/>
    <w:unhideWhenUsed/>
    <w:rsid w:val="00F3096B"/>
    <w:rPr>
      <w:color w:val="0563C1" w:themeColor="hyperlink"/>
      <w:u w:val="single"/>
    </w:rPr>
  </w:style>
  <w:style w:type="paragraph" w:styleId="En-tte">
    <w:name w:val="header"/>
    <w:basedOn w:val="Normal"/>
    <w:link w:val="En-tteCar"/>
    <w:uiPriority w:val="99"/>
    <w:unhideWhenUsed/>
    <w:rsid w:val="00426102"/>
    <w:pPr>
      <w:tabs>
        <w:tab w:val="center" w:pos="4703"/>
        <w:tab w:val="right" w:pos="9406"/>
      </w:tabs>
      <w:spacing w:after="0" w:line="240" w:lineRule="auto"/>
    </w:pPr>
  </w:style>
  <w:style w:type="character" w:customStyle="1" w:styleId="En-tteCar">
    <w:name w:val="En-tête Car"/>
    <w:basedOn w:val="Policepardfaut"/>
    <w:link w:val="En-tte"/>
    <w:uiPriority w:val="99"/>
    <w:rsid w:val="00426102"/>
    <w:rPr>
      <w:rFonts w:ascii="Calibri" w:eastAsia="Calibri" w:hAnsi="Calibri" w:cs="Calibri"/>
      <w:kern w:val="0"/>
      <w:lang w:eastAsia="fr-CA"/>
    </w:rPr>
  </w:style>
  <w:style w:type="paragraph" w:styleId="Pieddepage">
    <w:name w:val="footer"/>
    <w:basedOn w:val="Normal"/>
    <w:link w:val="PieddepageCar"/>
    <w:uiPriority w:val="99"/>
    <w:unhideWhenUsed/>
    <w:rsid w:val="0042610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26102"/>
    <w:rPr>
      <w:rFonts w:ascii="Calibri" w:eastAsia="Calibri" w:hAnsi="Calibri" w:cs="Calibri"/>
      <w:kern w:val="0"/>
      <w:lang w:eastAsia="fr-C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styleId="lev">
    <w:name w:val="Strong"/>
    <w:basedOn w:val="Policepardfaut"/>
    <w:uiPriority w:val="22"/>
    <w:qFormat/>
    <w:rsid w:val="00676295"/>
    <w:rPr>
      <w:b/>
      <w:bCs/>
    </w:rPr>
  </w:style>
  <w:style w:type="paragraph" w:styleId="NormalWeb">
    <w:name w:val="Normal (Web)"/>
    <w:basedOn w:val="Normal"/>
    <w:uiPriority w:val="99"/>
    <w:unhideWhenUsed/>
    <w:rsid w:val="00521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Policepardfaut"/>
    <w:rsid w:val="00C77443"/>
  </w:style>
  <w:style w:type="character" w:styleId="Mentionnonrsolue">
    <w:name w:val="Unresolved Mention"/>
    <w:basedOn w:val="Policepardfaut"/>
    <w:uiPriority w:val="99"/>
    <w:semiHidden/>
    <w:unhideWhenUsed/>
    <w:rsid w:val="00CB59D5"/>
    <w:rPr>
      <w:color w:val="605E5C"/>
      <w:shd w:val="clear" w:color="auto" w:fill="E1DFDD"/>
    </w:rPr>
  </w:style>
  <w:style w:type="character" w:styleId="Lienhypertextesuivivisit">
    <w:name w:val="FollowedHyperlink"/>
    <w:basedOn w:val="Policepardfaut"/>
    <w:uiPriority w:val="99"/>
    <w:semiHidden/>
    <w:unhideWhenUsed/>
    <w:rsid w:val="0075085F"/>
    <w:rPr>
      <w:color w:val="954F72" w:themeColor="followedHyperlink"/>
      <w:u w:val="single"/>
    </w:rPr>
  </w:style>
  <w:style w:type="character" w:styleId="Marquedecommentaire">
    <w:name w:val="annotation reference"/>
    <w:basedOn w:val="Policepardfaut"/>
    <w:uiPriority w:val="99"/>
    <w:semiHidden/>
    <w:unhideWhenUsed/>
    <w:rsid w:val="00D114E3"/>
    <w:rPr>
      <w:sz w:val="16"/>
      <w:szCs w:val="16"/>
    </w:rPr>
  </w:style>
  <w:style w:type="paragraph" w:styleId="Commentaire">
    <w:name w:val="annotation text"/>
    <w:basedOn w:val="Normal"/>
    <w:link w:val="CommentaireCar"/>
    <w:uiPriority w:val="99"/>
    <w:unhideWhenUsed/>
    <w:rsid w:val="00D114E3"/>
    <w:pPr>
      <w:spacing w:line="240" w:lineRule="auto"/>
    </w:pPr>
    <w:rPr>
      <w:sz w:val="20"/>
      <w:szCs w:val="20"/>
    </w:rPr>
  </w:style>
  <w:style w:type="character" w:customStyle="1" w:styleId="CommentaireCar">
    <w:name w:val="Commentaire Car"/>
    <w:basedOn w:val="Policepardfaut"/>
    <w:link w:val="Commentaire"/>
    <w:uiPriority w:val="99"/>
    <w:rsid w:val="00D114E3"/>
    <w:rPr>
      <w:sz w:val="20"/>
      <w:szCs w:val="20"/>
    </w:rPr>
  </w:style>
  <w:style w:type="paragraph" w:styleId="Objetducommentaire">
    <w:name w:val="annotation subject"/>
    <w:basedOn w:val="Commentaire"/>
    <w:next w:val="Commentaire"/>
    <w:link w:val="ObjetducommentaireCar"/>
    <w:uiPriority w:val="99"/>
    <w:semiHidden/>
    <w:unhideWhenUsed/>
    <w:rsid w:val="00D114E3"/>
    <w:rPr>
      <w:b/>
      <w:bCs/>
    </w:rPr>
  </w:style>
  <w:style w:type="character" w:customStyle="1" w:styleId="ObjetducommentaireCar">
    <w:name w:val="Objet du commentaire Car"/>
    <w:basedOn w:val="CommentaireCar"/>
    <w:link w:val="Objetducommentaire"/>
    <w:uiPriority w:val="99"/>
    <w:semiHidden/>
    <w:rsid w:val="00D114E3"/>
    <w:rPr>
      <w:b/>
      <w:bCs/>
      <w:sz w:val="20"/>
      <w:szCs w:val="20"/>
    </w:rPr>
  </w:style>
  <w:style w:type="paragraph" w:styleId="Rvision">
    <w:name w:val="Revision"/>
    <w:hidden/>
    <w:uiPriority w:val="99"/>
    <w:semiHidden/>
    <w:rsid w:val="000338DA"/>
    <w:pPr>
      <w:spacing w:after="0" w:line="240" w:lineRule="auto"/>
    </w:pPr>
  </w:style>
  <w:style w:type="paragraph" w:styleId="Notedebasdepage">
    <w:name w:val="footnote text"/>
    <w:basedOn w:val="Normal"/>
    <w:link w:val="NotedebasdepageCar"/>
    <w:uiPriority w:val="99"/>
    <w:semiHidden/>
    <w:unhideWhenUsed/>
    <w:rsid w:val="001B7D5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B7D53"/>
    <w:rPr>
      <w:sz w:val="20"/>
      <w:szCs w:val="20"/>
    </w:rPr>
  </w:style>
  <w:style w:type="character" w:styleId="Appelnotedebasdep">
    <w:name w:val="footnote reference"/>
    <w:basedOn w:val="Policepardfaut"/>
    <w:uiPriority w:val="99"/>
    <w:semiHidden/>
    <w:unhideWhenUsed/>
    <w:rsid w:val="001B7D53"/>
    <w:rPr>
      <w:vertAlign w:val="superscript"/>
    </w:rPr>
  </w:style>
  <w:style w:type="paragraph" w:styleId="z-Hautduformulaire">
    <w:name w:val="HTML Top of Form"/>
    <w:basedOn w:val="Normal"/>
    <w:next w:val="Normal"/>
    <w:link w:val="z-HautduformulaireCar"/>
    <w:hidden/>
    <w:uiPriority w:val="99"/>
    <w:semiHidden/>
    <w:unhideWhenUsed/>
    <w:rsid w:val="00A63C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A63C9B"/>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A63C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A63C9B"/>
    <w:rPr>
      <w:rFonts w:ascii="Arial" w:eastAsia="Times New Roman" w:hAnsi="Arial" w:cs="Arial"/>
      <w:vanish/>
      <w:sz w:val="16"/>
      <w:szCs w:val="16"/>
    </w:rPr>
  </w:style>
  <w:style w:type="paragraph" w:styleId="Textedebulles">
    <w:name w:val="Balloon Text"/>
    <w:basedOn w:val="Normal"/>
    <w:link w:val="TextedebullesCar"/>
    <w:uiPriority w:val="99"/>
    <w:semiHidden/>
    <w:unhideWhenUsed/>
    <w:rsid w:val="00542E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2EF7"/>
    <w:rPr>
      <w:rFonts w:ascii="Segoe UI" w:hAnsi="Segoe UI" w:cs="Segoe UI"/>
      <w:sz w:val="18"/>
      <w:szCs w:val="1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w.genially.com/6655f45b6454ed001442b3f5/presentation-cultures-et-inegalites-sous-la-loupe" TargetMode="External"/><Relationship Id="rId18" Type="http://schemas.openxmlformats.org/officeDocument/2006/relationships/hyperlink" Target="https://doi.org/10.3406/arss.1979.2654" TargetMode="External"/><Relationship Id="rId26" Type="http://schemas.openxmlformats.org/officeDocument/2006/relationships/hyperlink" Target="https://www.onf.ca/film/chemin-de-la-guerison/" TargetMode="External"/><Relationship Id="rId3" Type="http://schemas.openxmlformats.org/officeDocument/2006/relationships/styles" Target="styles.xml"/><Relationship Id="rId21" Type="http://schemas.openxmlformats.org/officeDocument/2006/relationships/hyperlink" Target="https://doi.org/10.4000/rechercheseducations.2498" TargetMode="External"/><Relationship Id="rId7" Type="http://schemas.openxmlformats.org/officeDocument/2006/relationships/endnotes" Target="endnotes.xml"/><Relationship Id="rId12" Type="http://schemas.openxmlformats.org/officeDocument/2006/relationships/hyperlink" Target="https://play.kahoot.it/v2/*?quizId=bd06fcf8-ac61-41a2-b9c5-77349ce5fffc" TargetMode="External"/><Relationship Id="rId17" Type="http://schemas.openxmlformats.org/officeDocument/2006/relationships/image" Target="media/image3.png"/><Relationship Id="rId25" Type="http://schemas.openxmlformats.org/officeDocument/2006/relationships/hyperlink" Target="https://www.youtube.com/watch?v=_baid8unKaQ&amp;t=76s"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doi.org/10.3406/colan.1989.11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genially.com/6655f45b6454ed001442b3f5/presentation-cultures-et-inegalites-sous-la-loupe" TargetMode="External"/><Relationship Id="rId24" Type="http://schemas.openxmlformats.org/officeDocument/2006/relationships/hyperlink" Target="https://www.afscanada.org/informations-sur-afs/" TargetMode="External"/><Relationship Id="rId5" Type="http://schemas.openxmlformats.org/officeDocument/2006/relationships/webSettings" Target="webSettings.xml"/><Relationship Id="rId15" Type="http://schemas.openxmlformats.org/officeDocument/2006/relationships/hyperlink" Target="https://www.onf.ca/film/chemin-de-la-guerison/" TargetMode="External"/><Relationship Id="rId23" Type="http://schemas.openxmlformats.org/officeDocument/2006/relationships/hyperlink" Target="https://www.afscanada.org/informations-sur-afs/" TargetMode="External"/><Relationship Id="rId28" Type="http://schemas.openxmlformats.org/officeDocument/2006/relationships/theme" Target="theme/theme1.xml"/><Relationship Id="rId10" Type="http://schemas.openxmlformats.org/officeDocument/2006/relationships/hyperlink" Target="https://view.genially.com/6655f45b6454ed001442b3f5/presentation-cultures-et-inegalites-sous-la-loupe" TargetMode="External"/><Relationship Id="rId19" Type="http://schemas.openxmlformats.org/officeDocument/2006/relationships/hyperlink" Target="https://doi.org/10.4000/edso.12627" TargetMode="External"/><Relationship Id="rId4" Type="http://schemas.openxmlformats.org/officeDocument/2006/relationships/settings" Target="settings.xml"/><Relationship Id="rId9" Type="http://schemas.openxmlformats.org/officeDocument/2006/relationships/hyperlink" Target="https://view.genially.com/6655f45b6454ed001442b3f5/presentation-cultures-et-inegalites-sous-la-loupe" TargetMode="External"/><Relationship Id="rId14" Type="http://schemas.openxmlformats.org/officeDocument/2006/relationships/hyperlink" Target="https://view.genially.com/6655f45b6454ed001442b3f5/presentation-cultures-et-inegalites-sous-la-loupe" TargetMode="External"/><Relationship Id="rId22" Type="http://schemas.openxmlformats.org/officeDocument/2006/relationships/hyperlink" Target="https://doi.org/10.3917/dbu.jorro.2022.01.004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oi.org/10.3917/dbu.jorro.2022.01.0041" TargetMode="External"/><Relationship Id="rId3" Type="http://schemas.openxmlformats.org/officeDocument/2006/relationships/hyperlink" Target="https://www.afscanada.org/informations-sur-afs/" TargetMode="External"/><Relationship Id="rId7" Type="http://schemas.openxmlformats.org/officeDocument/2006/relationships/hyperlink" Target="https://www.leslibraires.ca/livres/la-distinction-tiphaine-riviere-9782413081333.html?srsltid=AfmBOorz8rDh43DWDJVc9WgfUZ-q7zBhGU5ZnXpoa_uXZybdUvEPKn6-" TargetMode="External"/><Relationship Id="rId2" Type="http://schemas.openxmlformats.org/officeDocument/2006/relationships/hyperlink" Target="https://www.afscanada.org/informations-sur-afs/" TargetMode="External"/><Relationship Id="rId1" Type="http://schemas.openxmlformats.org/officeDocument/2006/relationships/hyperlink" Target="https://doi.org/10.3406/colan.1989.1111" TargetMode="External"/><Relationship Id="rId6" Type="http://schemas.openxmlformats.org/officeDocument/2006/relationships/hyperlink" Target="https://doi.org/10.3406/arss.1979.2654" TargetMode="External"/><Relationship Id="rId11" Type="http://schemas.openxmlformats.org/officeDocument/2006/relationships/hyperlink" Target="https://www.onf.ca/film/chemin-de-la-guerison/" TargetMode="External"/><Relationship Id="rId5" Type="http://schemas.openxmlformats.org/officeDocument/2006/relationships/hyperlink" Target="https://www.youtube.com/watch?v=_baid8unKaQ&amp;t=76s" TargetMode="External"/><Relationship Id="rId10" Type="http://schemas.openxmlformats.org/officeDocument/2006/relationships/hyperlink" Target="https://doi.org/10.4000/edso.12627" TargetMode="External"/><Relationship Id="rId4" Type="http://schemas.openxmlformats.org/officeDocument/2006/relationships/hyperlink" Target="https://www.ledevoir.com/societe/education/614613/des-enseignants-reclament-une-reforme-de-l-histoire-autochtone-au-quebec" TargetMode="External"/><Relationship Id="rId9" Type="http://schemas.openxmlformats.org/officeDocument/2006/relationships/hyperlink" Target="http://journals.openedition.org/rechercheseducations/24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fimwSGKmpEfkAufO/quUNZX6sQ==">CgMxLjAyCGguZ2pkZ3hzOAByITFtZ25zR0VndlVfQVdUcGpZeUVfblh5bS0zSXJ1UmVDVQ==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5218</Words>
  <Characters>28703</Characters>
  <Application>Microsoft Office Word</Application>
  <DocSecurity>0</DocSecurity>
  <Lines>239</Lines>
  <Paragraphs>67</Paragraphs>
  <ScaleCrop>false</ScaleCrop>
  <Company/>
  <LinksUpToDate>false</LinksUpToDate>
  <CharactersWithSpaces>33854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René</dc:creator>
  <cp:lastModifiedBy>Marie Brodeur Gélinas</cp:lastModifiedBy>
  <cp:revision>18</cp:revision>
  <dcterms:created xsi:type="dcterms:W3CDTF">2024-08-29T20:19:00Z</dcterms:created>
  <dcterms:modified xsi:type="dcterms:W3CDTF">2024-08-29T20:29:00Z</dcterms:modified>
</cp:coreProperties>
</file>